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565"/>
          <w:tab w:val="left" w:pos="3600"/>
          <w:tab w:val="right" w:pos="8640"/>
        </w:tabs>
        <w:spacing w:line="360" w:lineRule="auto"/>
        <w:jc w:val="center"/>
        <w:rPr>
          <w:rFonts w:ascii="宋体" w:hAnsi="宋体"/>
          <w:w w:val="90"/>
          <w:sz w:val="44"/>
          <w:szCs w:val="44"/>
        </w:rPr>
      </w:pPr>
      <w:r>
        <w:rPr>
          <w:rFonts w:hint="eastAsia" w:ascii="宋体" w:hAnsi="宋体"/>
          <w:w w:val="90"/>
          <w:sz w:val="44"/>
          <w:szCs w:val="44"/>
          <w:lang w:val="en-US" w:eastAsia="zh-CN"/>
        </w:rPr>
        <w:t>3#炉大修</w:t>
      </w:r>
      <w:r>
        <w:rPr>
          <w:rFonts w:hint="eastAsia" w:ascii="宋体" w:hAnsi="宋体"/>
          <w:w w:val="90"/>
          <w:sz w:val="44"/>
          <w:szCs w:val="44"/>
        </w:rPr>
        <w:t>项目</w:t>
      </w:r>
    </w:p>
    <w:p>
      <w:pPr>
        <w:tabs>
          <w:tab w:val="left" w:pos="3565"/>
          <w:tab w:val="left" w:pos="3600"/>
          <w:tab w:val="right" w:pos="8640"/>
        </w:tabs>
        <w:spacing w:line="360" w:lineRule="auto"/>
        <w:jc w:val="center"/>
        <w:rPr>
          <w:rFonts w:ascii="宋体" w:hAnsi="宋体"/>
          <w:w w:val="90"/>
          <w:sz w:val="44"/>
          <w:szCs w:val="44"/>
        </w:rPr>
      </w:pPr>
    </w:p>
    <w:p>
      <w:pPr>
        <w:tabs>
          <w:tab w:val="left" w:pos="3565"/>
          <w:tab w:val="left" w:pos="3600"/>
          <w:tab w:val="right" w:pos="8640"/>
        </w:tabs>
        <w:spacing w:line="360" w:lineRule="auto"/>
        <w:jc w:val="center"/>
        <w:rPr>
          <w:rFonts w:ascii="宋体" w:hAnsi="宋体"/>
          <w:w w:val="90"/>
          <w:sz w:val="44"/>
          <w:szCs w:val="44"/>
        </w:rPr>
      </w:pPr>
    </w:p>
    <w:p>
      <w:pPr>
        <w:tabs>
          <w:tab w:val="left" w:pos="3565"/>
          <w:tab w:val="left" w:pos="3600"/>
          <w:tab w:val="right" w:pos="8640"/>
        </w:tabs>
        <w:spacing w:line="360" w:lineRule="auto"/>
        <w:jc w:val="center"/>
        <w:rPr>
          <w:rFonts w:ascii="宋体" w:hAnsi="宋体"/>
          <w:sz w:val="44"/>
          <w:szCs w:val="44"/>
        </w:rPr>
      </w:pPr>
    </w:p>
    <w:p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低压智能自动补偿控制柜</w:t>
      </w:r>
    </w:p>
    <w:p>
      <w:pPr>
        <w:jc w:val="center"/>
        <w:rPr>
          <w:rFonts w:hint="eastAsia" w:ascii="宋体" w:hAnsi="宋体" w:eastAsia="宋体"/>
          <w:b/>
          <w:bCs/>
          <w:sz w:val="36"/>
          <w:szCs w:val="36"/>
          <w:lang w:eastAsia="zh-CN"/>
        </w:rPr>
      </w:pPr>
      <w:r>
        <w:rPr>
          <w:rFonts w:hint="eastAsia" w:ascii="宋体" w:hAnsi="宋体"/>
          <w:b/>
          <w:bCs/>
          <w:sz w:val="36"/>
          <w:szCs w:val="36"/>
        </w:rPr>
        <w:t>技术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要求</w:t>
      </w:r>
    </w:p>
    <w:p>
      <w:pPr>
        <w:jc w:val="center"/>
        <w:rPr>
          <w:rFonts w:ascii="宋体" w:hAnsi="宋体"/>
          <w:b/>
          <w:bCs/>
          <w:sz w:val="36"/>
          <w:szCs w:val="36"/>
        </w:rPr>
      </w:pPr>
    </w:p>
    <w:p>
      <w:pPr>
        <w:jc w:val="center"/>
        <w:rPr>
          <w:rFonts w:ascii="宋体" w:hAnsi="宋体"/>
          <w:b/>
          <w:bCs/>
          <w:sz w:val="36"/>
          <w:szCs w:val="36"/>
        </w:rPr>
      </w:pPr>
    </w:p>
    <w:p>
      <w:pPr>
        <w:jc w:val="center"/>
        <w:rPr>
          <w:rFonts w:ascii="宋体" w:hAnsi="宋体"/>
          <w:b/>
          <w:bCs/>
          <w:sz w:val="36"/>
          <w:szCs w:val="36"/>
        </w:rPr>
      </w:pPr>
    </w:p>
    <w:p>
      <w:pPr>
        <w:jc w:val="center"/>
        <w:rPr>
          <w:rFonts w:ascii="宋体" w:hAnsi="宋体"/>
          <w:b/>
          <w:bCs/>
          <w:sz w:val="36"/>
          <w:szCs w:val="36"/>
        </w:rPr>
      </w:pPr>
    </w:p>
    <w:p>
      <w:pPr>
        <w:jc w:val="center"/>
        <w:rPr>
          <w:rFonts w:ascii="宋体" w:hAnsi="宋体"/>
          <w:b/>
          <w:bCs/>
          <w:sz w:val="36"/>
          <w:szCs w:val="36"/>
        </w:rPr>
      </w:pPr>
    </w:p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3"/>
        <w:rPr>
          <w:rFonts w:ascii="Times New Roman" w:hAnsi="Times New Roman"/>
        </w:rPr>
      </w:pPr>
      <w:bookmarkStart w:id="0" w:name="_Toc180508135"/>
      <w:bookmarkStart w:id="1" w:name="_Toc466203944"/>
      <w:r>
        <w:rPr>
          <w:rFonts w:ascii="Times New Roman"/>
        </w:rPr>
        <w:t>用途</w:t>
      </w:r>
      <w:bookmarkEnd w:id="0"/>
      <w:bookmarkEnd w:id="1"/>
    </w:p>
    <w:p>
      <w:pPr>
        <w:pStyle w:val="2"/>
        <w:rPr>
          <w:sz w:val="24"/>
        </w:rPr>
      </w:pPr>
      <w:r>
        <w:rPr>
          <w:sz w:val="24"/>
        </w:rPr>
        <w:t>本技术</w:t>
      </w:r>
      <w:r>
        <w:rPr>
          <w:rFonts w:hint="eastAsia"/>
          <w:sz w:val="24"/>
        </w:rPr>
        <w:t>协议</w:t>
      </w:r>
      <w:r>
        <w:rPr>
          <w:rFonts w:hAnsiTheme="minorEastAsia" w:eastAsiaTheme="minorEastAsia"/>
          <w:sz w:val="24"/>
        </w:rPr>
        <w:t>适用</w:t>
      </w:r>
      <w:r>
        <w:rPr>
          <w:rFonts w:hint="eastAsia" w:hAnsiTheme="minorEastAsia" w:eastAsiaTheme="minorEastAsia"/>
          <w:sz w:val="24"/>
        </w:rPr>
        <w:t>于</w:t>
      </w:r>
      <w:r>
        <w:rPr>
          <w:rFonts w:hint="eastAsia" w:hAnsiTheme="minorEastAsia" w:eastAsiaTheme="minorEastAsia"/>
          <w:sz w:val="24"/>
          <w:lang w:val="en-US" w:eastAsia="zh-CN"/>
        </w:rPr>
        <w:t>新天钢联合特钢</w:t>
      </w:r>
      <w:r>
        <w:rPr>
          <w:rFonts w:hint="eastAsia" w:hAnsiTheme="minorEastAsia" w:eastAsiaTheme="minorEastAsia"/>
          <w:sz w:val="24"/>
        </w:rPr>
        <w:t>有限公司</w:t>
      </w:r>
      <w:r>
        <w:rPr>
          <w:rFonts w:hint="eastAsia" w:hAnsiTheme="minorEastAsia" w:eastAsiaTheme="minorEastAsia"/>
          <w:sz w:val="24"/>
          <w:lang w:val="en-US" w:eastAsia="zh-CN"/>
        </w:rPr>
        <w:t>3#高炉大修</w:t>
      </w:r>
      <w:r>
        <w:rPr>
          <w:rFonts w:hint="eastAsia" w:hAnsiTheme="minorEastAsia" w:eastAsiaTheme="minorEastAsia"/>
          <w:sz w:val="24"/>
        </w:rPr>
        <w:t>项目</w:t>
      </w:r>
      <w:r>
        <w:rPr>
          <w:rFonts w:hint="eastAsia"/>
          <w:color w:val="FF0000"/>
          <w:sz w:val="24"/>
        </w:rPr>
        <w:t>低压成套开关</w:t>
      </w:r>
      <w:r>
        <w:rPr>
          <w:sz w:val="24"/>
        </w:rPr>
        <w:t>设备，其中包括技术指标、性能、结构、试验等要求，还包括资料交付及技术文件等要求。</w:t>
      </w:r>
    </w:p>
    <w:p>
      <w:pPr>
        <w:pStyle w:val="3"/>
        <w:rPr>
          <w:rFonts w:ascii="Times New Roman" w:hAnsi="Times New Roman"/>
        </w:rPr>
      </w:pPr>
      <w:r>
        <w:rPr>
          <w:rFonts w:hint="eastAsia" w:ascii="Times New Roman"/>
          <w:b w:val="0"/>
        </w:rPr>
        <w:t>2.</w:t>
      </w:r>
      <w:bookmarkStart w:id="2" w:name="_Toc466203945"/>
      <w:bookmarkStart w:id="3" w:name="_Toc180508136"/>
      <w:r>
        <w:rPr>
          <w:rFonts w:ascii="Times New Roman"/>
        </w:rPr>
        <w:t xml:space="preserve"> 总则</w:t>
      </w:r>
      <w:bookmarkEnd w:id="2"/>
      <w:bookmarkEnd w:id="3"/>
    </w:p>
    <w:p>
      <w:pPr>
        <w:numPr>
          <w:ilvl w:val="0"/>
          <w:numId w:val="2"/>
        </w:numPr>
        <w:spacing w:line="360" w:lineRule="auto"/>
        <w:rPr>
          <w:rFonts w:eastAsiaTheme="minorEastAsia"/>
          <w:sz w:val="24"/>
        </w:rPr>
      </w:pPr>
      <w:r>
        <w:rPr>
          <w:rFonts w:hAnsiTheme="minorEastAsia" w:eastAsiaTheme="minorEastAsia"/>
          <w:sz w:val="24"/>
        </w:rPr>
        <w:t>本技术</w:t>
      </w:r>
      <w:r>
        <w:rPr>
          <w:rFonts w:hint="eastAsia" w:hAnsiTheme="minorEastAsia" w:eastAsiaTheme="minorEastAsia"/>
          <w:sz w:val="24"/>
        </w:rPr>
        <w:t>协议</w:t>
      </w:r>
      <w:r>
        <w:rPr>
          <w:rFonts w:hAnsiTheme="minorEastAsia" w:eastAsiaTheme="minorEastAsia"/>
          <w:sz w:val="24"/>
        </w:rPr>
        <w:t>提出的是最低限度的技术要求，并未对一切技术细节作出规定，也未充分引述有关标准和规范的条文，卖方应提供符合相应的标准及本技术</w:t>
      </w:r>
      <w:r>
        <w:rPr>
          <w:rFonts w:hint="eastAsia" w:hAnsiTheme="minorEastAsia" w:eastAsiaTheme="minorEastAsia"/>
          <w:sz w:val="24"/>
        </w:rPr>
        <w:t>协议</w:t>
      </w:r>
      <w:r>
        <w:rPr>
          <w:rFonts w:hAnsiTheme="minorEastAsia" w:eastAsiaTheme="minorEastAsia"/>
          <w:sz w:val="24"/>
        </w:rPr>
        <w:t>要求的优质产品。</w:t>
      </w:r>
    </w:p>
    <w:p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成套产品及其附带的所有元器件均需通过3C认证。</w:t>
      </w:r>
    </w:p>
    <w:p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卖方</w:t>
      </w:r>
      <w:r>
        <w:rPr>
          <w:sz w:val="24"/>
        </w:rPr>
        <w:t>应对</w:t>
      </w:r>
      <w:r>
        <w:rPr>
          <w:rFonts w:hint="eastAsia"/>
          <w:sz w:val="24"/>
        </w:rPr>
        <w:t>买方</w:t>
      </w:r>
      <w:r>
        <w:rPr>
          <w:sz w:val="24"/>
        </w:rPr>
        <w:t>提出的功能要求逐条响应，并列出详细技术数据（该技术数据应为运行数据）、性能指标、特性参数和其它需要提供的信息，这些数据将作为合同技术附件的一部分。</w:t>
      </w:r>
    </w:p>
    <w:p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如果投标人没有以书面形式对本技术</w:t>
      </w:r>
      <w:r>
        <w:rPr>
          <w:rFonts w:hint="eastAsia"/>
          <w:sz w:val="24"/>
        </w:rPr>
        <w:t>协议</w:t>
      </w:r>
      <w:r>
        <w:rPr>
          <w:sz w:val="24"/>
        </w:rPr>
        <w:t>的任何条文提出偏差，则视为投标人完全同意本技术</w:t>
      </w:r>
      <w:r>
        <w:rPr>
          <w:rFonts w:hint="eastAsia"/>
          <w:sz w:val="24"/>
        </w:rPr>
        <w:t>协议</w:t>
      </w:r>
      <w:r>
        <w:rPr>
          <w:sz w:val="24"/>
        </w:rPr>
        <w:t>所提出的要求。若对本技术</w:t>
      </w:r>
      <w:r>
        <w:rPr>
          <w:rFonts w:hint="eastAsia"/>
          <w:sz w:val="24"/>
        </w:rPr>
        <w:t>协议</w:t>
      </w:r>
      <w:r>
        <w:rPr>
          <w:sz w:val="24"/>
        </w:rPr>
        <w:t>的任何条文有异议，无论多少，都必须清楚地在投标技术文件偏差表中加以详细描述。</w:t>
      </w:r>
    </w:p>
    <w:p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本技术</w:t>
      </w:r>
      <w:r>
        <w:rPr>
          <w:rFonts w:hint="eastAsia"/>
          <w:sz w:val="24"/>
        </w:rPr>
        <w:t>协议</w:t>
      </w:r>
      <w:r>
        <w:rPr>
          <w:sz w:val="24"/>
        </w:rPr>
        <w:t>所使用的标准，如遇到与</w:t>
      </w:r>
      <w:r>
        <w:rPr>
          <w:rFonts w:hint="eastAsia"/>
          <w:sz w:val="24"/>
        </w:rPr>
        <w:t>卖方</w:t>
      </w:r>
      <w:r>
        <w:rPr>
          <w:sz w:val="24"/>
        </w:rPr>
        <w:t>所执行的标准不一致时，按要求较高的标准执行。</w:t>
      </w:r>
    </w:p>
    <w:p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本技术</w:t>
      </w:r>
      <w:r>
        <w:rPr>
          <w:rFonts w:hint="eastAsia"/>
          <w:sz w:val="24"/>
        </w:rPr>
        <w:t>协议</w:t>
      </w:r>
      <w:r>
        <w:rPr>
          <w:sz w:val="24"/>
        </w:rPr>
        <w:t>采用中文书写，计量单位采用国际单位制。</w:t>
      </w:r>
    </w:p>
    <w:p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本技术</w:t>
      </w:r>
      <w:r>
        <w:rPr>
          <w:rFonts w:hint="eastAsia"/>
          <w:sz w:val="24"/>
        </w:rPr>
        <w:t>协议</w:t>
      </w:r>
      <w:r>
        <w:rPr>
          <w:sz w:val="24"/>
        </w:rPr>
        <w:t>将作为订货合同的附件，与合同正文具有同等效力。</w:t>
      </w:r>
    </w:p>
    <w:p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所有经</w:t>
      </w:r>
      <w:r>
        <w:rPr>
          <w:rFonts w:hint="eastAsia"/>
          <w:sz w:val="24"/>
        </w:rPr>
        <w:t>买方</w:t>
      </w:r>
      <w:r>
        <w:rPr>
          <w:sz w:val="24"/>
        </w:rPr>
        <w:t>确认的资料，不能免除</w:t>
      </w:r>
      <w:r>
        <w:rPr>
          <w:rFonts w:hint="eastAsia"/>
          <w:sz w:val="24"/>
        </w:rPr>
        <w:t>卖方</w:t>
      </w:r>
      <w:r>
        <w:rPr>
          <w:sz w:val="24"/>
        </w:rPr>
        <w:t>应负的责任。</w:t>
      </w:r>
    </w:p>
    <w:p>
      <w:pPr>
        <w:pStyle w:val="3"/>
        <w:rPr>
          <w:rFonts w:ascii="Times New Roman" w:hAnsi="Times New Roman"/>
        </w:rPr>
      </w:pPr>
      <w:bookmarkStart w:id="4" w:name="_Toc466203948"/>
      <w:bookmarkStart w:id="5" w:name="_Toc180508137"/>
      <w:r>
        <w:rPr>
          <w:rFonts w:ascii="Times New Roman"/>
        </w:rPr>
        <w:t>供货范围及要求</w:t>
      </w:r>
      <w:bookmarkEnd w:id="4"/>
      <w:bookmarkEnd w:id="5"/>
    </w:p>
    <w:p>
      <w:pPr>
        <w:pStyle w:val="4"/>
        <w:rPr>
          <w:rFonts w:ascii="Times New Roman" w:hAnsi="Times New Roman"/>
        </w:rPr>
      </w:pPr>
      <w:bookmarkStart w:id="6" w:name="_Toc466203949"/>
      <w:bookmarkStart w:id="7" w:name="_Toc180508138"/>
      <w:r>
        <w:rPr>
          <w:rFonts w:ascii="Times New Roman"/>
        </w:rPr>
        <w:t>供货范围一览表</w:t>
      </w:r>
      <w:bookmarkEnd w:id="6"/>
      <w:bookmarkEnd w:id="7"/>
    </w:p>
    <w:tbl>
      <w:tblPr>
        <w:tblStyle w:val="13"/>
        <w:tblW w:w="95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1559"/>
        <w:gridCol w:w="1701"/>
        <w:gridCol w:w="425"/>
        <w:gridCol w:w="709"/>
        <w:gridCol w:w="2126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  <w:tblHeader/>
        </w:trPr>
        <w:tc>
          <w:tcPr>
            <w:tcW w:w="9526" w:type="dxa"/>
            <w:gridSpan w:val="7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jc w:val="center"/>
              <w:textAlignment w:val="baseline"/>
              <w:rPr>
                <w:szCs w:val="21"/>
              </w:rPr>
            </w:pPr>
            <w:r>
              <w:rPr>
                <w:rFonts w:hAnsi="宋体"/>
                <w:szCs w:val="21"/>
              </w:rPr>
              <w:t>供货范围一览表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ind w:left="-105" w:leftChars="-50" w:right="-105" w:rightChars="-50"/>
              <w:jc w:val="center"/>
              <w:textAlignment w:val="baseline"/>
              <w:rPr>
                <w:szCs w:val="21"/>
              </w:rPr>
            </w:pPr>
            <w:r>
              <w:rPr>
                <w:rFonts w:hAnsi="宋体"/>
                <w:szCs w:val="21"/>
              </w:rPr>
              <w:t>序号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jc w:val="center"/>
              <w:textAlignment w:val="baseline"/>
              <w:rPr>
                <w:szCs w:val="21"/>
              </w:rPr>
            </w:pPr>
            <w:r>
              <w:rPr>
                <w:rFonts w:hAnsi="宋体"/>
                <w:szCs w:val="21"/>
              </w:rPr>
              <w:t>设备名称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jc w:val="center"/>
              <w:textAlignment w:val="baseline"/>
              <w:rPr>
                <w:szCs w:val="21"/>
              </w:rPr>
            </w:pPr>
            <w:r>
              <w:rPr>
                <w:rFonts w:hAnsi="宋体"/>
                <w:szCs w:val="21"/>
              </w:rPr>
              <w:t>型号及规格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jc w:val="center"/>
              <w:textAlignment w:val="baseline"/>
              <w:rPr>
                <w:szCs w:val="21"/>
              </w:rPr>
            </w:pPr>
            <w:r>
              <w:rPr>
                <w:rFonts w:hAnsi="宋体"/>
                <w:szCs w:val="21"/>
              </w:rPr>
              <w:t>单位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jc w:val="center"/>
              <w:textAlignment w:val="baseline"/>
              <w:rPr>
                <w:szCs w:val="21"/>
              </w:rPr>
            </w:pPr>
            <w:r>
              <w:rPr>
                <w:rFonts w:hAnsi="宋体"/>
                <w:szCs w:val="21"/>
              </w:rPr>
              <w:t>数量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jc w:val="center"/>
              <w:textAlignment w:val="baseline"/>
              <w:rPr>
                <w:szCs w:val="21"/>
              </w:rPr>
            </w:pPr>
            <w:r>
              <w:rPr>
                <w:rFonts w:hAnsi="宋体"/>
                <w:szCs w:val="21"/>
              </w:rPr>
              <w:t>附图图号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jc w:val="center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ind w:left="-105" w:leftChars="-50" w:right="-105" w:rightChars="-50"/>
              <w:jc w:val="center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jc w:val="center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低压无功补偿控制柜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szCs w:val="21"/>
              </w:rPr>
            </w:pPr>
            <w:r>
              <w:rPr>
                <w:szCs w:val="21"/>
              </w:rPr>
              <w:t>GGD-0.4kV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jc w:val="center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台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jc w:val="center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jc w:val="center"/>
              <w:textAlignment w:val="baseline"/>
              <w:rPr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jc w:val="center"/>
              <w:textAlignment w:val="baseline"/>
              <w:rPr>
                <w:szCs w:val="21"/>
              </w:rPr>
            </w:pPr>
          </w:p>
        </w:tc>
      </w:tr>
    </w:tbl>
    <w:p>
      <w:pPr>
        <w:pStyle w:val="4"/>
        <w:rPr>
          <w:rFonts w:ascii="Times New Roman" w:hAnsi="Times New Roman"/>
        </w:rPr>
      </w:pPr>
      <w:bookmarkStart w:id="8" w:name="_Toc466203950"/>
      <w:bookmarkStart w:id="9" w:name="_Toc180508139"/>
      <w:r>
        <w:rPr>
          <w:rFonts w:ascii="Times New Roman"/>
        </w:rPr>
        <w:t>供货范围要求补充说明</w:t>
      </w:r>
      <w:bookmarkEnd w:id="8"/>
      <w:bookmarkEnd w:id="9"/>
    </w:p>
    <w:p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sz w:val="24"/>
        </w:rPr>
        <w:t>对于属于整套设备运行和安装所必需的部件及附件，即使供货范围一览表未列出和/或数量不足，</w:t>
      </w:r>
      <w:r>
        <w:rPr>
          <w:rFonts w:hint="eastAsia"/>
          <w:sz w:val="24"/>
        </w:rPr>
        <w:t>卖方</w:t>
      </w:r>
      <w:r>
        <w:rPr>
          <w:sz w:val="24"/>
        </w:rPr>
        <w:t>仍须在执行的同时补足。</w:t>
      </w:r>
    </w:p>
    <w:p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sz w:val="24"/>
        </w:rPr>
        <w:t>供货范围还须包括安装和检修维护所需专用工具和消耗材料等</w:t>
      </w:r>
      <w:r>
        <w:rPr>
          <w:rFonts w:hint="eastAsia"/>
          <w:sz w:val="24"/>
        </w:rPr>
        <w:t>，</w:t>
      </w:r>
      <w:r>
        <w:rPr>
          <w:sz w:val="24"/>
        </w:rPr>
        <w:t>投标时提供专用工具详细供货清单。</w:t>
      </w:r>
    </w:p>
    <w:p>
      <w:pPr>
        <w:pStyle w:val="4"/>
        <w:rPr>
          <w:rFonts w:ascii="Times New Roman"/>
        </w:rPr>
      </w:pPr>
      <w:r>
        <w:rPr>
          <w:color w:val="FF0000"/>
          <w:sz w:val="24"/>
          <w:szCs w:val="24"/>
        </w:rPr>
        <w:t xml:space="preserve"> </w:t>
      </w:r>
      <w:bookmarkStart w:id="10" w:name="_Toc180508140"/>
      <w:r>
        <w:rPr>
          <w:rFonts w:hint="eastAsia" w:ascii="Times New Roman"/>
        </w:rPr>
        <w:t>备品备件</w:t>
      </w:r>
      <w:bookmarkEnd w:id="10"/>
    </w:p>
    <w:p>
      <w:pPr>
        <w:numPr>
          <w:ilvl w:val="0"/>
          <w:numId w:val="4"/>
        </w:numPr>
        <w:spacing w:line="360" w:lineRule="auto"/>
      </w:pPr>
      <w:r>
        <w:rPr>
          <w:sz w:val="24"/>
        </w:rPr>
        <w:t>供货范围还须包括现场调试备件，数量应满足</w:t>
      </w:r>
      <w:r>
        <w:rPr>
          <w:rFonts w:hint="eastAsia"/>
          <w:sz w:val="24"/>
        </w:rPr>
        <w:t>现场调试</w:t>
      </w:r>
      <w:r>
        <w:rPr>
          <w:sz w:val="24"/>
        </w:rPr>
        <w:t>实际的需求，如现场调试中发生备件不足，应免费补足。</w:t>
      </w:r>
    </w:p>
    <w:p>
      <w:pPr>
        <w:pStyle w:val="2"/>
        <w:rPr>
          <w:rFonts w:ascii="Times New Roman" w:hAnsi="Arial"/>
          <w:b/>
          <w:sz w:val="28"/>
          <w:szCs w:val="28"/>
        </w:rPr>
      </w:pPr>
      <w:r>
        <w:rPr>
          <w:sz w:val="24"/>
        </w:rPr>
        <w:t>提供</w:t>
      </w:r>
      <w:r>
        <w:rPr>
          <w:rFonts w:hint="eastAsia"/>
          <w:sz w:val="24"/>
        </w:rPr>
        <w:t>投标文件中</w:t>
      </w:r>
      <w:r>
        <w:rPr>
          <w:sz w:val="24"/>
        </w:rPr>
        <w:t>备品备件详细供货清单</w:t>
      </w:r>
      <w:r>
        <w:rPr>
          <w:rFonts w:hint="eastAsia"/>
          <w:sz w:val="24"/>
        </w:rPr>
        <w:t>中给出的所有</w:t>
      </w:r>
      <w:r>
        <w:rPr>
          <w:sz w:val="24"/>
        </w:rPr>
        <w:t>备品备件</w:t>
      </w:r>
    </w:p>
    <w:p>
      <w:pPr>
        <w:pStyle w:val="3"/>
        <w:rPr>
          <w:rFonts w:ascii="Times New Roman"/>
        </w:rPr>
      </w:pPr>
      <w:bookmarkStart w:id="11" w:name="_Toc180508141"/>
      <w:r>
        <w:rPr>
          <w:rFonts w:ascii="Times New Roman"/>
        </w:rPr>
        <w:t>技术要求</w:t>
      </w:r>
      <w:bookmarkEnd w:id="11"/>
    </w:p>
    <w:p>
      <w:pPr>
        <w:pStyle w:val="4"/>
        <w:rPr>
          <w:rFonts w:asciiTheme="minorEastAsia" w:hAnsiTheme="minorEastAsia" w:eastAsiaTheme="minorEastAsia"/>
          <w:sz w:val="24"/>
          <w:szCs w:val="24"/>
        </w:rPr>
      </w:pPr>
      <w:bookmarkStart w:id="12" w:name="_Toc180508142"/>
      <w:r>
        <w:rPr>
          <w:rFonts w:hint="eastAsia" w:asciiTheme="minorEastAsia" w:hAnsiTheme="minorEastAsia" w:eastAsiaTheme="minorEastAsia"/>
          <w:sz w:val="24"/>
          <w:szCs w:val="24"/>
        </w:rPr>
        <w:t>技术标准</w:t>
      </w:r>
      <w:bookmarkEnd w:id="12"/>
    </w:p>
    <w:p>
      <w:pPr>
        <w:pStyle w:val="5"/>
      </w:pPr>
      <w:r>
        <w:rPr>
          <w:rFonts w:hint="eastAsia" w:asciiTheme="minorEastAsia" w:hAnsiTheme="minorEastAsia" w:eastAsiaTheme="minorEastAsia"/>
          <w:sz w:val="24"/>
          <w:szCs w:val="24"/>
        </w:rPr>
        <w:t>卖方提供的设备和配套件要符合在投标时为最新版的</w:t>
      </w:r>
      <w:r>
        <w:rPr>
          <w:rFonts w:asciiTheme="minorEastAsia" w:hAnsiTheme="minorEastAsia" w:eastAsiaTheme="minorEastAsia"/>
          <w:sz w:val="24"/>
          <w:szCs w:val="24"/>
        </w:rPr>
        <w:t>有效标准</w:t>
      </w:r>
      <w:r>
        <w:rPr>
          <w:rFonts w:hint="eastAsia" w:asciiTheme="minorEastAsia" w:hAnsiTheme="minorEastAsia" w:eastAsiaTheme="minorEastAsia"/>
          <w:sz w:val="24"/>
          <w:szCs w:val="24"/>
        </w:rPr>
        <w:t>，主要标准应包括</w:t>
      </w:r>
      <w:r>
        <w:rPr>
          <w:rFonts w:asciiTheme="minorEastAsia" w:hAnsiTheme="minorEastAsia" w:eastAsiaTheme="minorEastAsia"/>
          <w:sz w:val="24"/>
          <w:szCs w:val="24"/>
        </w:rPr>
        <w:t>但不限于</w:t>
      </w:r>
      <w:r>
        <w:rPr>
          <w:rFonts w:hint="eastAsia" w:asciiTheme="minorEastAsia" w:hAnsiTheme="minorEastAsia" w:eastAsiaTheme="minorEastAsia"/>
          <w:sz w:val="24"/>
          <w:szCs w:val="24"/>
        </w:rPr>
        <w:t>下列</w:t>
      </w:r>
      <w:r>
        <w:rPr>
          <w:rFonts w:asciiTheme="minorEastAsia" w:hAnsiTheme="minorEastAsia" w:eastAsiaTheme="minorEastAsia"/>
          <w:sz w:val="24"/>
          <w:szCs w:val="24"/>
        </w:rPr>
        <w:t>标准</w:t>
      </w:r>
      <w:r>
        <w:rPr>
          <w:rFonts w:hint="eastAsia" w:asciiTheme="minorEastAsia" w:hAnsiTheme="minorEastAsia" w:eastAsiaTheme="minorEastAsia"/>
          <w:sz w:val="24"/>
          <w:szCs w:val="24"/>
        </w:rPr>
        <w:t>：</w:t>
      </w:r>
    </w:p>
    <w:tbl>
      <w:tblPr>
        <w:tblStyle w:val="13"/>
        <w:tblW w:w="9498" w:type="dxa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7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 w:eastAsiaTheme="minorEastAsia"/>
                <w:b/>
                <w:sz w:val="24"/>
              </w:rPr>
            </w:pPr>
            <w:bookmarkStart w:id="13" w:name="_Toc466203946"/>
            <w:r>
              <w:rPr>
                <w:rFonts w:hint="eastAsia" w:asciiTheme="minorEastAsia" w:hAnsiTheme="minorEastAsia" w:eastAsiaTheme="minorEastAsia"/>
                <w:b/>
                <w:sz w:val="24"/>
              </w:rPr>
              <w:t>标准号</w:t>
            </w:r>
          </w:p>
        </w:tc>
        <w:tc>
          <w:tcPr>
            <w:tcW w:w="7230" w:type="dxa"/>
            <w:shd w:val="clear" w:color="auto" w:fill="auto"/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标准名称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ind w:firstLine="120" w:firstLineChars="5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GB 7251</w:t>
            </w:r>
          </w:p>
        </w:tc>
        <w:tc>
          <w:tcPr>
            <w:tcW w:w="7230" w:type="dxa"/>
            <w:shd w:val="clear" w:color="auto" w:fill="auto"/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《</w:t>
            </w:r>
            <w:r>
              <w:rPr>
                <w:rFonts w:hint="eastAsia" w:asciiTheme="minorEastAsia" w:hAnsiTheme="minorEastAsia" w:eastAsiaTheme="minorEastAsia"/>
                <w:sz w:val="24"/>
              </w:rPr>
              <w:t>低压成套开关设备和控制设备</w:t>
            </w:r>
            <w:r>
              <w:rPr>
                <w:rFonts w:asciiTheme="minorEastAsia" w:hAnsiTheme="minorEastAsia" w:eastAsiaTheme="minorEastAsia"/>
                <w:sz w:val="24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ind w:firstLine="120" w:firstLineChars="5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 xml:space="preserve">GB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14048</w:t>
            </w:r>
          </w:p>
        </w:tc>
        <w:tc>
          <w:tcPr>
            <w:tcW w:w="7230" w:type="dxa"/>
            <w:shd w:val="clear" w:color="auto" w:fill="auto"/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《</w:t>
            </w:r>
            <w:r>
              <w:rPr>
                <w:rFonts w:hint="eastAsia" w:asciiTheme="minorEastAsia" w:hAnsiTheme="minorEastAsia" w:eastAsiaTheme="minorEastAsia"/>
                <w:sz w:val="24"/>
              </w:rPr>
              <w:t>低压开关设备和控制设备</w:t>
            </w:r>
            <w:r>
              <w:rPr>
                <w:rFonts w:asciiTheme="minorEastAsia" w:hAnsiTheme="minorEastAsia" w:eastAsiaTheme="minorEastAsia"/>
                <w:sz w:val="24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ind w:firstLine="120" w:firstLineChars="5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 xml:space="preserve">GB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42</w:t>
            </w:r>
            <w:r>
              <w:rPr>
                <w:rFonts w:asciiTheme="minorEastAsia" w:hAnsiTheme="minorEastAsia" w:eastAsiaTheme="minorEastAsia"/>
                <w:sz w:val="24"/>
              </w:rPr>
              <w:t>08</w:t>
            </w:r>
          </w:p>
        </w:tc>
        <w:tc>
          <w:tcPr>
            <w:tcW w:w="7230" w:type="dxa"/>
            <w:shd w:val="clear" w:color="auto" w:fill="auto"/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《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外壳防护等级（IP代码）</w:t>
            </w:r>
            <w:r>
              <w:rPr>
                <w:rFonts w:asciiTheme="minorEastAsia" w:hAnsiTheme="minorEastAsia" w:eastAsiaTheme="minorEastAsia"/>
                <w:sz w:val="24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ind w:firstLine="120" w:firstLineChars="5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GB 18802</w:t>
            </w:r>
          </w:p>
        </w:tc>
        <w:tc>
          <w:tcPr>
            <w:tcW w:w="7230" w:type="dxa"/>
            <w:shd w:val="clear" w:color="auto" w:fill="auto"/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《</w:t>
            </w:r>
            <w:r>
              <w:rPr>
                <w:rFonts w:hint="eastAsia" w:asciiTheme="minorEastAsia" w:hAnsiTheme="minorEastAsia" w:eastAsiaTheme="minorEastAsia"/>
                <w:sz w:val="24"/>
              </w:rPr>
              <w:t>低压配电系统的电涌保护器(SPD)</w:t>
            </w:r>
            <w:r>
              <w:rPr>
                <w:rFonts w:asciiTheme="minorEastAsia" w:hAnsiTheme="minorEastAsia" w:eastAsiaTheme="minorEastAsia"/>
                <w:sz w:val="24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ind w:firstLine="120" w:firstLineChars="5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GB T4025</w:t>
            </w:r>
          </w:p>
        </w:tc>
        <w:tc>
          <w:tcPr>
            <w:tcW w:w="7230" w:type="dxa"/>
            <w:shd w:val="clear" w:color="auto" w:fill="auto"/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《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指示器和操作器的编码规则</w:t>
            </w:r>
            <w:r>
              <w:rPr>
                <w:rFonts w:asciiTheme="minorEastAsia" w:hAnsiTheme="minorEastAsia" w:eastAsiaTheme="minorEastAsia"/>
                <w:sz w:val="24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ind w:firstLine="120" w:firstLineChars="5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GB T402</w:t>
            </w:r>
            <w:r>
              <w:rPr>
                <w:rFonts w:hint="eastAsia" w:asciiTheme="minorEastAsia" w:hAnsiTheme="minorEastAsia" w:eastAsiaTheme="minorEastAsia"/>
                <w:sz w:val="24"/>
              </w:rPr>
              <w:t>6</w:t>
            </w:r>
          </w:p>
        </w:tc>
        <w:tc>
          <w:tcPr>
            <w:tcW w:w="7230" w:type="dxa"/>
            <w:shd w:val="clear" w:color="auto" w:fill="auto"/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《</w:t>
            </w:r>
            <w:r>
              <w:rPr>
                <w:rFonts w:hint="eastAsia" w:asciiTheme="minorEastAsia" w:hAnsiTheme="minorEastAsia" w:eastAsiaTheme="minorEastAsia"/>
                <w:sz w:val="24"/>
              </w:rPr>
              <w:t>人机界面标志标识的基本和安全规则</w:t>
            </w:r>
            <w:r>
              <w:rPr>
                <w:rFonts w:asciiTheme="minorEastAsia" w:hAnsiTheme="minorEastAsia" w:eastAsiaTheme="minorEastAsia"/>
                <w:sz w:val="24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ind w:firstLine="120" w:firstLineChars="5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GB 311</w:t>
            </w:r>
          </w:p>
        </w:tc>
        <w:tc>
          <w:tcPr>
            <w:tcW w:w="7230" w:type="dxa"/>
            <w:shd w:val="clear" w:color="auto" w:fill="auto"/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《</w:t>
            </w:r>
            <w:r>
              <w:rPr>
                <w:rFonts w:hint="eastAsia" w:asciiTheme="minorEastAsia" w:hAnsiTheme="minorEastAsia" w:eastAsiaTheme="minorEastAsia"/>
                <w:sz w:val="24"/>
              </w:rPr>
              <w:t>绝缘配合</w:t>
            </w:r>
            <w:r>
              <w:rPr>
                <w:rFonts w:asciiTheme="minorEastAsia" w:hAnsiTheme="minorEastAsia" w:eastAsiaTheme="minorEastAsia"/>
                <w:sz w:val="24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ind w:firstLine="120" w:firstLineChars="5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GB</w:t>
            </w:r>
            <w:r>
              <w:rPr>
                <w:rFonts w:hint="eastAsia" w:asciiTheme="minorEastAsia" w:hAnsiTheme="minorEastAsia" w:eastAsiaTheme="minorEastAsia"/>
                <w:sz w:val="24"/>
              </w:rPr>
              <w:t>/</w:t>
            </w:r>
            <w:r>
              <w:rPr>
                <w:rFonts w:asciiTheme="minorEastAsia" w:hAnsiTheme="minorEastAsia" w:eastAsiaTheme="minorEastAsia"/>
                <w:sz w:val="24"/>
              </w:rPr>
              <w:t>T 15576</w:t>
            </w:r>
          </w:p>
        </w:tc>
        <w:tc>
          <w:tcPr>
            <w:tcW w:w="7230" w:type="dxa"/>
            <w:shd w:val="clear" w:color="auto" w:fill="auto"/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《</w:t>
            </w:r>
            <w:r>
              <w:rPr>
                <w:rFonts w:hint="eastAsia" w:asciiTheme="minorEastAsia" w:hAnsiTheme="minorEastAsia" w:eastAsiaTheme="minorEastAsia"/>
                <w:sz w:val="24"/>
              </w:rPr>
              <w:t>低压成套无功功率补偿装置</w:t>
            </w:r>
            <w:r>
              <w:rPr>
                <w:rFonts w:asciiTheme="minorEastAsia" w:hAnsiTheme="minorEastAsia" w:eastAsiaTheme="minorEastAsia"/>
                <w:sz w:val="24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ind w:firstLine="120" w:firstLineChars="5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GB</w:t>
            </w:r>
            <w:r>
              <w:rPr>
                <w:rFonts w:hint="eastAsia" w:asciiTheme="minorEastAsia" w:hAnsiTheme="minorEastAsia" w:eastAsiaTheme="minorEastAsia"/>
                <w:sz w:val="24"/>
              </w:rPr>
              <w:t>/</w:t>
            </w:r>
            <w:r>
              <w:rPr>
                <w:rFonts w:asciiTheme="minorEastAsia" w:hAnsiTheme="minorEastAsia" w:eastAsiaTheme="minorEastAsia"/>
                <w:sz w:val="24"/>
              </w:rPr>
              <w:t>T 29312</w:t>
            </w:r>
          </w:p>
        </w:tc>
        <w:tc>
          <w:tcPr>
            <w:tcW w:w="7230" w:type="dxa"/>
            <w:shd w:val="clear" w:color="auto" w:fill="auto"/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《</w:t>
            </w:r>
            <w:r>
              <w:rPr>
                <w:rFonts w:hint="eastAsia" w:asciiTheme="minorEastAsia" w:hAnsiTheme="minorEastAsia" w:eastAsiaTheme="minorEastAsia"/>
                <w:sz w:val="24"/>
              </w:rPr>
              <w:t>低压无功功率补偿投切装置</w:t>
            </w:r>
            <w:r>
              <w:rPr>
                <w:rFonts w:asciiTheme="minorEastAsia" w:hAnsiTheme="minorEastAsia" w:eastAsiaTheme="minorEastAsia"/>
                <w:sz w:val="24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ind w:firstLine="120" w:firstLineChars="5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IEEE Std 519</w:t>
            </w:r>
          </w:p>
        </w:tc>
        <w:tc>
          <w:tcPr>
            <w:tcW w:w="7230" w:type="dxa"/>
            <w:shd w:val="clear" w:color="auto" w:fill="auto"/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《电力系统谐波控制》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ind w:firstLine="120" w:firstLineChars="5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GB 12326</w:t>
            </w:r>
          </w:p>
        </w:tc>
        <w:tc>
          <w:tcPr>
            <w:tcW w:w="7230" w:type="dxa"/>
            <w:shd w:val="clear" w:color="auto" w:fill="auto"/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《电能质量   电压允许波动和闪变》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ind w:firstLine="120" w:firstLineChars="5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GB/T 14549</w:t>
            </w:r>
          </w:p>
        </w:tc>
        <w:tc>
          <w:tcPr>
            <w:tcW w:w="7230" w:type="dxa"/>
            <w:shd w:val="clear" w:color="auto" w:fill="auto"/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《电能质量   公用电网谐波》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ind w:firstLine="120" w:firstLineChars="5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GB/T2423</w:t>
            </w:r>
          </w:p>
        </w:tc>
        <w:tc>
          <w:tcPr>
            <w:tcW w:w="7230" w:type="dxa"/>
            <w:shd w:val="clear" w:color="auto" w:fill="auto"/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《电工电子产品环境试验》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ind w:firstLine="120" w:firstLineChars="5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GB/T 30844</w:t>
            </w:r>
          </w:p>
        </w:tc>
        <w:tc>
          <w:tcPr>
            <w:tcW w:w="7230" w:type="dxa"/>
            <w:shd w:val="clear" w:color="auto" w:fill="auto"/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《1kV及以下通用变频调速设备》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ind w:firstLine="120" w:firstLineChars="5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GB12668</w:t>
            </w:r>
          </w:p>
        </w:tc>
        <w:tc>
          <w:tcPr>
            <w:tcW w:w="7230" w:type="dxa"/>
            <w:shd w:val="clear" w:color="auto" w:fill="auto"/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《调速电气传动系统》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ind w:firstLine="120" w:firstLineChars="5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GB/T 3859.1</w:t>
            </w:r>
          </w:p>
        </w:tc>
        <w:tc>
          <w:tcPr>
            <w:tcW w:w="7230" w:type="dxa"/>
            <w:shd w:val="clear" w:color="auto" w:fill="auto"/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《半导体变流器  基本要求的规定》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ind w:firstLine="120" w:firstLineChars="5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GB/T 3859.2</w:t>
            </w:r>
          </w:p>
        </w:tc>
        <w:tc>
          <w:tcPr>
            <w:tcW w:w="7230" w:type="dxa"/>
            <w:shd w:val="clear" w:color="auto" w:fill="auto"/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《半导体变流器  应用导则》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ind w:firstLine="120" w:firstLineChars="5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GB/T 3859.3</w:t>
            </w:r>
            <w:r>
              <w:rPr>
                <w:rFonts w:hint="eastAsia" w:asciiTheme="minorEastAsia" w:hAnsiTheme="minorEastAsia" w:eastAsiaTheme="minorEastAsia"/>
                <w:sz w:val="24"/>
              </w:rPr>
              <w:tab/>
            </w:r>
          </w:p>
        </w:tc>
        <w:tc>
          <w:tcPr>
            <w:tcW w:w="7230" w:type="dxa"/>
            <w:shd w:val="clear" w:color="auto" w:fill="auto"/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《半导体变流器  变压器和电抗器》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ind w:firstLine="120" w:firstLineChars="5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DL/T 339-2010</w:t>
            </w:r>
          </w:p>
        </w:tc>
        <w:tc>
          <w:tcPr>
            <w:tcW w:w="7230" w:type="dxa"/>
            <w:shd w:val="clear" w:color="auto" w:fill="auto"/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《</w:t>
            </w:r>
            <w:r>
              <w:rPr>
                <w:rFonts w:hint="eastAsia" w:asciiTheme="minorEastAsia" w:hAnsiTheme="minorEastAsia" w:eastAsiaTheme="minorEastAsia"/>
                <w:sz w:val="24"/>
              </w:rPr>
              <w:t>低压变频调速装置技术条件</w:t>
            </w:r>
            <w:r>
              <w:rPr>
                <w:rFonts w:asciiTheme="minorEastAsia" w:hAnsiTheme="minorEastAsia" w:eastAsiaTheme="minorEastAsia"/>
                <w:sz w:val="24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ind w:firstLine="120" w:firstLineChars="50"/>
              <w:textAlignment w:val="baseline"/>
              <w:rPr>
                <w:rFonts w:asciiTheme="minorEastAsia" w:hAnsiTheme="minorEastAsia" w:eastAsiaTheme="minorEastAsia"/>
                <w:color w:val="FF0000"/>
                <w:sz w:val="24"/>
              </w:rPr>
            </w:pPr>
            <w:r>
              <w:rPr>
                <w:rFonts w:asciiTheme="minorEastAsia" w:hAnsiTheme="minorEastAsia" w:eastAsiaTheme="minorEastAsia"/>
                <w:color w:val="FF0000"/>
                <w:sz w:val="24"/>
              </w:rPr>
              <w:t xml:space="preserve"> </w:t>
            </w:r>
          </w:p>
        </w:tc>
        <w:tc>
          <w:tcPr>
            <w:tcW w:w="7230" w:type="dxa"/>
            <w:shd w:val="clear" w:color="auto" w:fill="auto"/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ind w:firstLine="120" w:firstLineChars="50"/>
              <w:textAlignment w:val="baseline"/>
              <w:rPr>
                <w:rFonts w:asciiTheme="minorEastAsia" w:hAnsiTheme="minorEastAsia" w:eastAsiaTheme="minorEastAsia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230" w:type="dxa"/>
            <w:shd w:val="clear" w:color="auto" w:fill="auto"/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</w:p>
        </w:tc>
      </w:tr>
      <w:bookmarkEnd w:id="13"/>
    </w:tbl>
    <w:p>
      <w:pPr>
        <w:pStyle w:val="4"/>
        <w:rPr>
          <w:rFonts w:asciiTheme="minorEastAsia" w:hAnsiTheme="minorEastAsia" w:eastAsiaTheme="minorEastAsia"/>
          <w:sz w:val="24"/>
          <w:szCs w:val="24"/>
        </w:rPr>
      </w:pPr>
      <w:bookmarkStart w:id="14" w:name="_Toc180508143"/>
      <w:r>
        <w:rPr>
          <w:rFonts w:hint="eastAsia" w:asciiTheme="minorEastAsia" w:hAnsiTheme="minorEastAsia" w:eastAsiaTheme="minorEastAsia"/>
          <w:sz w:val="24"/>
          <w:szCs w:val="24"/>
        </w:rPr>
        <w:t>系统设计条件</w:t>
      </w:r>
      <w:bookmarkEnd w:id="14"/>
    </w:p>
    <w:tbl>
      <w:tblPr>
        <w:tblStyle w:val="13"/>
        <w:tblW w:w="9498" w:type="dxa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3686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名  称</w:t>
            </w:r>
          </w:p>
        </w:tc>
        <w:tc>
          <w:tcPr>
            <w:tcW w:w="3686" w:type="dxa"/>
            <w:shd w:val="clear" w:color="auto" w:fill="auto"/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系统参数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系统标称电压</w:t>
            </w:r>
          </w:p>
        </w:tc>
        <w:tc>
          <w:tcPr>
            <w:tcW w:w="3686" w:type="dxa"/>
            <w:shd w:val="clear" w:color="auto" w:fill="auto"/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380V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系统频率</w:t>
            </w:r>
          </w:p>
        </w:tc>
        <w:tc>
          <w:tcPr>
            <w:tcW w:w="3686" w:type="dxa"/>
            <w:shd w:val="clear" w:color="auto" w:fill="auto"/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50Hz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相数</w:t>
            </w:r>
          </w:p>
        </w:tc>
        <w:tc>
          <w:tcPr>
            <w:tcW w:w="3686" w:type="dxa"/>
            <w:shd w:val="clear" w:color="auto" w:fill="auto"/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3相+N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系统接地方式</w:t>
            </w:r>
          </w:p>
        </w:tc>
        <w:tc>
          <w:tcPr>
            <w:tcW w:w="3686" w:type="dxa"/>
            <w:shd w:val="clear" w:color="auto" w:fill="auto"/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TN-S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电压波动范围</w:t>
            </w:r>
          </w:p>
        </w:tc>
        <w:tc>
          <w:tcPr>
            <w:tcW w:w="3686" w:type="dxa"/>
            <w:shd w:val="clear" w:color="auto" w:fill="auto"/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-7%~+7%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频率波动范围</w:t>
            </w:r>
          </w:p>
        </w:tc>
        <w:tc>
          <w:tcPr>
            <w:tcW w:w="3686" w:type="dxa"/>
            <w:shd w:val="clear" w:color="auto" w:fill="auto"/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±</w:t>
            </w:r>
            <w:r>
              <w:rPr>
                <w:rFonts w:hint="eastAsia" w:asciiTheme="minorEastAsia" w:hAnsiTheme="minorEastAsia" w:eastAsiaTheme="minorEastAsia"/>
                <w:sz w:val="24"/>
              </w:rPr>
              <w:t>0.5Hz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</w:p>
        </w:tc>
      </w:tr>
    </w:tbl>
    <w:p>
      <w:pPr>
        <w:pStyle w:val="4"/>
        <w:rPr>
          <w:rFonts w:asciiTheme="minorEastAsia" w:hAnsiTheme="minorEastAsia" w:eastAsiaTheme="minorEastAsia"/>
          <w:sz w:val="24"/>
          <w:szCs w:val="24"/>
        </w:rPr>
      </w:pPr>
      <w:bookmarkStart w:id="15" w:name="_Toc180508144"/>
      <w:r>
        <w:rPr>
          <w:rFonts w:hint="eastAsia" w:asciiTheme="minorEastAsia" w:hAnsiTheme="minorEastAsia" w:eastAsiaTheme="minorEastAsia"/>
          <w:sz w:val="24"/>
          <w:szCs w:val="24"/>
        </w:rPr>
        <w:t>使用环境条件</w:t>
      </w:r>
      <w:bookmarkEnd w:id="15"/>
    </w:p>
    <w:tbl>
      <w:tblPr>
        <w:tblStyle w:val="13"/>
        <w:tblW w:w="9498" w:type="dxa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3686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名  称</w:t>
            </w:r>
          </w:p>
        </w:tc>
        <w:tc>
          <w:tcPr>
            <w:tcW w:w="36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环境条件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安装使用场所</w:t>
            </w:r>
          </w:p>
        </w:tc>
        <w:tc>
          <w:tcPr>
            <w:tcW w:w="36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■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室内；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室外；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□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jc w:val="left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海拔高度</w:t>
            </w:r>
          </w:p>
        </w:tc>
        <w:tc>
          <w:tcPr>
            <w:tcW w:w="36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eastAsia="楷体_GB2312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jc w:val="left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年平均大气压</w:t>
            </w:r>
          </w:p>
        </w:tc>
        <w:tc>
          <w:tcPr>
            <w:tcW w:w="36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 xml:space="preserve">  972.3hPa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jc w:val="left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地震烈度</w:t>
            </w:r>
          </w:p>
        </w:tc>
        <w:tc>
          <w:tcPr>
            <w:tcW w:w="36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 xml:space="preserve">  6度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jc w:val="left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最热月平均温度</w:t>
            </w:r>
          </w:p>
        </w:tc>
        <w:tc>
          <w:tcPr>
            <w:tcW w:w="36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 xml:space="preserve">  24.3</w:t>
            </w:r>
            <w:r>
              <w:rPr>
                <w:rFonts w:hint="eastAsia" w:ascii="宋体" w:hAnsi="宋体" w:cs="宋体"/>
                <w:szCs w:val="21"/>
              </w:rPr>
              <w:t>℃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jc w:val="left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最冷月平均温度</w:t>
            </w:r>
          </w:p>
        </w:tc>
        <w:tc>
          <w:tcPr>
            <w:tcW w:w="36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 xml:space="preserve"> -8.9</w:t>
            </w:r>
            <w:r>
              <w:rPr>
                <w:rFonts w:hint="eastAsia" w:ascii="宋体" w:hAnsi="宋体" w:cs="宋体"/>
                <w:szCs w:val="21"/>
              </w:rPr>
              <w:t>℃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jc w:val="left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最热月平均相对湿度</w:t>
            </w:r>
          </w:p>
        </w:tc>
        <w:tc>
          <w:tcPr>
            <w:tcW w:w="36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ind w:firstLine="210" w:firstLineChars="100"/>
              <w:textAlignment w:val="baseline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72%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jc w:val="left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最冷月平均相对湿度</w:t>
            </w:r>
          </w:p>
        </w:tc>
        <w:tc>
          <w:tcPr>
            <w:tcW w:w="36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ind w:firstLine="210" w:firstLineChars="100"/>
              <w:textAlignment w:val="baseline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47%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jc w:val="left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雷暴日</w:t>
            </w:r>
          </w:p>
        </w:tc>
        <w:tc>
          <w:tcPr>
            <w:tcW w:w="36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ind w:firstLine="210" w:firstLineChars="100"/>
              <w:textAlignment w:val="baseline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43.7天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jc w:val="left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6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eastAsia="楷体_GB2312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jc w:val="left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</w:p>
        </w:tc>
      </w:tr>
    </w:tbl>
    <w:p>
      <w:pPr>
        <w:pStyle w:val="4"/>
        <w:ind w:left="0"/>
        <w:rPr>
          <w:rFonts w:asciiTheme="minorEastAsia" w:hAnsiTheme="minorEastAsia" w:eastAsiaTheme="minorEastAsia"/>
          <w:sz w:val="24"/>
          <w:szCs w:val="24"/>
        </w:rPr>
      </w:pPr>
      <w:bookmarkStart w:id="16" w:name="_Toc180508145"/>
      <w:r>
        <w:rPr>
          <w:rFonts w:hint="eastAsia" w:asciiTheme="minorEastAsia" w:hAnsiTheme="minorEastAsia" w:eastAsiaTheme="minorEastAsia"/>
          <w:sz w:val="24"/>
          <w:szCs w:val="24"/>
        </w:rPr>
        <w:t>低压开关柜技术要求数据表</w:t>
      </w:r>
      <w:bookmarkEnd w:id="16"/>
    </w:p>
    <w:tbl>
      <w:tblPr>
        <w:tblStyle w:val="13"/>
        <w:tblW w:w="9498" w:type="dxa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410"/>
        <w:gridCol w:w="3402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3686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名  称</w:t>
            </w:r>
          </w:p>
        </w:tc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技术规格要求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3686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低压配电柜结构型式</w:t>
            </w:r>
          </w:p>
        </w:tc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eastAsia="楷体_GB2312"/>
                <w:szCs w:val="21"/>
              </w:rPr>
              <w:t>■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固定式；</w:t>
            </w:r>
          </w:p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固定分隔式；</w:t>
            </w:r>
          </w:p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eastAsia="楷体_GB2312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抽屉式；</w:t>
            </w:r>
          </w:p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eastAsia="楷体_GB2312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其它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jc w:val="left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详见附图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686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外壳防护等级</w:t>
            </w:r>
          </w:p>
        </w:tc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IP3X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jc w:val="left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686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额定运行电压</w:t>
            </w:r>
          </w:p>
        </w:tc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400</w:t>
            </w:r>
            <w:r>
              <w:rPr>
                <w:rFonts w:asciiTheme="minorEastAsia" w:hAnsiTheme="minorEastAsia" w:eastAsiaTheme="minorEastAsia"/>
                <w:sz w:val="24"/>
              </w:rPr>
              <w:t>V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AC</w:t>
            </w:r>
          </w:p>
        </w:tc>
        <w:tc>
          <w:tcPr>
            <w:tcW w:w="2410" w:type="dxa"/>
            <w:shd w:val="clear" w:color="auto" w:fill="auto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jc w:val="left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686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额定绝缘电压</w:t>
            </w:r>
          </w:p>
        </w:tc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690V AC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jc w:val="left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686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额定频率</w:t>
            </w:r>
          </w:p>
        </w:tc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50Hz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jc w:val="left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276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母线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母线配置</w:t>
            </w:r>
          </w:p>
        </w:tc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jc w:val="left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3Ph+N+PE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jc w:val="left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见附图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276" w:type="dxa"/>
            <w:vMerge w:val="continue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材质及规格</w:t>
            </w:r>
          </w:p>
        </w:tc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jc w:val="left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铜母线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jc w:val="left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见附图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276" w:type="dxa"/>
            <w:vMerge w:val="continue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母线色别标记</w:t>
            </w:r>
          </w:p>
        </w:tc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jc w:val="left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按国标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jc w:val="left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276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额定电流 (A)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主母线</w:t>
            </w:r>
          </w:p>
        </w:tc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hint="default" w:asciiTheme="minorEastAsia" w:hAnsiTheme="minorEastAsia" w:eastAsiaTheme="minorEastAsia"/>
                <w:color w:val="FF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24"/>
                <w:lang w:val="en-US" w:eastAsia="zh-CN"/>
              </w:rPr>
              <w:t>50×5扁铜排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jc w:val="left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见附图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276" w:type="dxa"/>
            <w:vMerge w:val="continue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配电母线</w:t>
            </w:r>
          </w:p>
        </w:tc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color w:val="FF0000"/>
                <w:sz w:val="24"/>
              </w:rPr>
            </w:pP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jc w:val="left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见附图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276" w:type="dxa"/>
            <w:vMerge w:val="continue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馈电电路</w:t>
            </w:r>
          </w:p>
        </w:tc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color w:val="FF0000"/>
                <w:sz w:val="24"/>
              </w:rPr>
            </w:pP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jc w:val="left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见附图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276" w:type="dxa"/>
            <w:vMerge w:val="continue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受电电路</w:t>
            </w:r>
          </w:p>
        </w:tc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color w:val="FF0000"/>
                <w:sz w:val="24"/>
              </w:rPr>
            </w:pP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jc w:val="left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见附图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686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额定短时耐受电流</w:t>
            </w:r>
          </w:p>
        </w:tc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50kA/1sec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jc w:val="left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见附图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686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额定峰值耐受电流</w:t>
            </w:r>
          </w:p>
        </w:tc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105kA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jc w:val="left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686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额定冲击耐受电压</w:t>
            </w:r>
          </w:p>
        </w:tc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jc w:val="left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8kV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jc w:val="left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686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外形尺寸</w:t>
            </w:r>
          </w:p>
        </w:tc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jc w:val="left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jc w:val="left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见附图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" w:hRule="atLeast"/>
        </w:trPr>
        <w:tc>
          <w:tcPr>
            <w:tcW w:w="1276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外壳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材质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jc w:val="left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冷轧钢板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jc w:val="left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" w:hRule="atLeast"/>
        </w:trPr>
        <w:tc>
          <w:tcPr>
            <w:tcW w:w="1276" w:type="dxa"/>
            <w:vMerge w:val="continue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厚度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jc w:val="left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2"/>
                <w:sz w:val="24"/>
              </w:rPr>
              <w:t>不小于2.0mm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jc w:val="left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" w:hRule="atLeast"/>
        </w:trPr>
        <w:tc>
          <w:tcPr>
            <w:tcW w:w="1276" w:type="dxa"/>
            <w:vMerge w:val="continue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涂漆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jc w:val="left"/>
              <w:textAlignment w:val="baseline"/>
              <w:rPr>
                <w:rFonts w:asciiTheme="minorEastAsia" w:hAnsiTheme="minorEastAsia" w:eastAsiaTheme="minorEastAsia"/>
                <w:spacing w:val="-12"/>
                <w:sz w:val="24"/>
              </w:rPr>
            </w:pPr>
            <w:r>
              <w:rPr>
                <w:rFonts w:hint="eastAsia" w:eastAsiaTheme="minorEastAsia"/>
                <w:sz w:val="24"/>
              </w:rPr>
              <w:t>环氧树脂粉末高温聚合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jc w:val="left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276" w:type="dxa"/>
            <w:vMerge w:val="continue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颜色色标</w:t>
            </w:r>
          </w:p>
        </w:tc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jc w:val="left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RAL 7035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jc w:val="left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</w:p>
        </w:tc>
      </w:tr>
    </w:tbl>
    <w:p>
      <w:pPr>
        <w:pStyle w:val="4"/>
        <w:ind w:left="0"/>
        <w:rPr>
          <w:rFonts w:asciiTheme="minorEastAsia" w:hAnsiTheme="minorEastAsia" w:eastAsiaTheme="minorEastAsia"/>
          <w:sz w:val="24"/>
          <w:szCs w:val="24"/>
        </w:rPr>
      </w:pPr>
      <w:bookmarkStart w:id="17" w:name="_Toc180508147"/>
      <w:r>
        <w:rPr>
          <w:rFonts w:hint="eastAsia" w:asciiTheme="minorEastAsia" w:hAnsiTheme="minorEastAsia" w:eastAsiaTheme="minorEastAsia"/>
          <w:sz w:val="24"/>
          <w:szCs w:val="24"/>
        </w:rPr>
        <w:t>低压无功补偿装置技术要求数据表</w:t>
      </w:r>
      <w:bookmarkEnd w:id="17"/>
    </w:p>
    <w:tbl>
      <w:tblPr>
        <w:tblStyle w:val="13"/>
        <w:tblW w:w="9498" w:type="dxa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410"/>
        <w:gridCol w:w="3402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3686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名  称</w:t>
            </w:r>
          </w:p>
        </w:tc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技术规格要求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" w:hRule="atLeast"/>
        </w:trPr>
        <w:tc>
          <w:tcPr>
            <w:tcW w:w="3686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无功补偿柜结构形式</w:t>
            </w:r>
          </w:p>
        </w:tc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与低压配电柜一致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jc w:val="left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详见附图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686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额定运行电压</w:t>
            </w:r>
          </w:p>
        </w:tc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400V AC</w:t>
            </w:r>
          </w:p>
        </w:tc>
        <w:tc>
          <w:tcPr>
            <w:tcW w:w="2410" w:type="dxa"/>
            <w:shd w:val="clear" w:color="auto" w:fill="auto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jc w:val="left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686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额定频率</w:t>
            </w:r>
          </w:p>
        </w:tc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50Hz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jc w:val="left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686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无功补偿额定容量</w:t>
            </w:r>
          </w:p>
        </w:tc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ind w:firstLine="120" w:firstLineChars="50"/>
              <w:textAlignment w:val="baseline"/>
              <w:rPr>
                <w:rFonts w:asciiTheme="minorEastAsia" w:hAnsiTheme="minorEastAsia" w:eastAsiaTheme="minorEastAsia"/>
                <w:color w:val="FF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kvar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jc w:val="left"/>
              <w:textAlignment w:val="baseline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 xml:space="preserve">电容容值为629μF，每台控制柜9个电容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见附图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686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投切方式</w:t>
            </w:r>
          </w:p>
        </w:tc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ind w:firstLine="120" w:firstLineChars="5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三相联动自动投切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jc w:val="left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686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投切装置主回路元件类型</w:t>
            </w:r>
          </w:p>
        </w:tc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ind w:firstLine="120" w:firstLineChars="5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☑</w:t>
            </w:r>
            <w:r>
              <w:rPr>
                <w:rFonts w:hint="eastAsia" w:eastAsia="楷体_GB2312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机电开关；</w:t>
            </w:r>
          </w:p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ind w:firstLine="120" w:firstLineChars="5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□</w:t>
            </w:r>
            <w:r>
              <w:rPr>
                <w:rFonts w:hint="eastAsia" w:eastAsia="楷体_GB2312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半导体电子开关；</w:t>
            </w:r>
          </w:p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ind w:firstLine="120" w:firstLineChars="5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eastAsia="楷体_GB2312"/>
                <w:sz w:val="24"/>
              </w:rPr>
              <w:t xml:space="preserve">□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复合开关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jc w:val="left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686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电容器型式或型号</w:t>
            </w:r>
          </w:p>
        </w:tc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jc w:val="left"/>
              <w:textAlignment w:val="baseline"/>
              <w:rPr>
                <w:rFonts w:asciiTheme="minorEastAsia" w:hAnsiTheme="minorEastAsia" w:eastAsiaTheme="minor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 xml:space="preserve"> </w:t>
            </w:r>
            <w:r>
              <w:rPr>
                <w:sz w:val="24"/>
              </w:rPr>
              <w:t>自愈式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jc w:val="left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" w:hRule="atLeast"/>
        </w:trPr>
        <w:tc>
          <w:tcPr>
            <w:tcW w:w="1276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外壳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材质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jc w:val="left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冷轧钢板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jc w:val="left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" w:hRule="atLeast"/>
        </w:trPr>
        <w:tc>
          <w:tcPr>
            <w:tcW w:w="1276" w:type="dxa"/>
            <w:vMerge w:val="continue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厚度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jc w:val="left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2"/>
                <w:sz w:val="24"/>
              </w:rPr>
              <w:t>不小于2.0mm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jc w:val="left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" w:hRule="atLeast"/>
        </w:trPr>
        <w:tc>
          <w:tcPr>
            <w:tcW w:w="1276" w:type="dxa"/>
            <w:vMerge w:val="continue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涂漆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jc w:val="left"/>
              <w:textAlignment w:val="baseline"/>
              <w:rPr>
                <w:rFonts w:asciiTheme="minorEastAsia" w:hAnsiTheme="minorEastAsia" w:eastAsiaTheme="minorEastAsia"/>
                <w:spacing w:val="-12"/>
                <w:sz w:val="24"/>
              </w:rPr>
            </w:pPr>
            <w:r>
              <w:rPr>
                <w:rFonts w:hint="eastAsia" w:eastAsiaTheme="minorEastAsia"/>
                <w:sz w:val="24"/>
              </w:rPr>
              <w:t>环氧树脂粉末高温聚合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jc w:val="left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276" w:type="dxa"/>
            <w:vMerge w:val="continue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颜色色标</w:t>
            </w:r>
          </w:p>
        </w:tc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jc w:val="left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RAL 7035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jc w:val="left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686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其他</w:t>
            </w:r>
          </w:p>
        </w:tc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4"/>
                <w:tab w:val="right" w:pos="7371"/>
              </w:tabs>
              <w:overflowPunct w:val="0"/>
              <w:adjustRightInd w:val="0"/>
              <w:jc w:val="left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</w:p>
        </w:tc>
      </w:tr>
    </w:tbl>
    <w:p>
      <w:pPr>
        <w:pStyle w:val="4"/>
        <w:ind w:left="0"/>
        <w:rPr>
          <w:rFonts w:asciiTheme="minorEastAsia" w:hAnsiTheme="minorEastAsia" w:eastAsiaTheme="minorEastAsia"/>
          <w:sz w:val="24"/>
          <w:szCs w:val="24"/>
        </w:rPr>
      </w:pPr>
      <w:bookmarkStart w:id="18" w:name="_Toc180508149"/>
      <w:r>
        <w:rPr>
          <w:rFonts w:hint="eastAsia" w:asciiTheme="minorEastAsia" w:hAnsiTheme="minorEastAsia" w:eastAsiaTheme="minorEastAsia"/>
          <w:sz w:val="24"/>
          <w:szCs w:val="24"/>
        </w:rPr>
        <w:t>技术要求说明</w:t>
      </w:r>
      <w:bookmarkEnd w:id="18"/>
    </w:p>
    <w:p>
      <w:pPr>
        <w:spacing w:line="46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按设计图纸技术要求供货，电容器、电抗器、控制器为同一品牌。</w:t>
      </w:r>
    </w:p>
    <w:p>
      <w:pPr>
        <w:spacing w:line="46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低压补偿品牌需提供该品牌的企业ISO9001质量管理体系，ISO14001环境管理体系,ISO45001职业健康其安全管理体系认证证书；低压补偿品牌需提供企业商标注册证书。</w:t>
      </w:r>
    </w:p>
    <w:p>
      <w:pPr>
        <w:spacing w:line="46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低压补偿装置具有抗谐波功能,电抗器绕组采用全铜，电抗率为7%，电容器电压为480V，并提供产品试验报告。</w:t>
      </w:r>
    </w:p>
    <w:p>
      <w:pPr>
        <w:spacing w:line="46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滤波补偿回路采用滤波电抗器与滤波电容器串联回路形式，满足IEC 61642 中关于“非调谐滤波器”的要求，其串联谐振频率调谐为低于系统中主要最低次谐波频率的10%以下，使得该滤波补偿回路针对低于该谐振频率的工频基波呈容性，而针对高于该谐振频率的谐波呈感性。</w:t>
      </w:r>
    </w:p>
    <w:p>
      <w:pPr>
        <w:spacing w:line="46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电容器自带过压切断保护装置，具有不浸油、不渗漏、不燃烧、不污染环境以及寿命长、损耗低等先进指标，同时与配套设备的技术参数相适应并满足电压波动的允许条件。</w:t>
      </w:r>
    </w:p>
    <w:p>
      <w:pPr>
        <w:spacing w:line="46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电容器具有自愈性能，采用圆柱形铝罐，内部充填环保型气体氮气（N2）作为绝缘介质，可避免对环境造成任何损害。电容器被永久击穿时仅故障元件退出运行，其他元件仍可正常运行</w:t>
      </w:r>
    </w:p>
    <w:p>
      <w:pPr>
        <w:spacing w:line="46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内装放电电阻，在50秒内端子间的电压降到50V以下。</w:t>
      </w:r>
    </w:p>
    <w:p>
      <w:pPr>
        <w:spacing w:line="46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电容器投切步进与设计相同，补偿柜具有手动/自动投切功能。</w:t>
      </w:r>
    </w:p>
    <w:p>
      <w:pPr>
        <w:spacing w:line="46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自动投切电容器的装置使功率因数保持在0.9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sz w:val="28"/>
          <w:szCs w:val="28"/>
        </w:rPr>
        <w:t>以上。分组切投时，不应产生谐振。</w:t>
      </w:r>
    </w:p>
    <w:p>
      <w:pPr>
        <w:spacing w:line="46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电容器柜设置数字式智能仪表，通过数字式智能仪表与电力监视系统通信。</w:t>
      </w:r>
    </w:p>
    <w:p>
      <w:pPr>
        <w:spacing w:line="46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电容器柜需设置进线总熔断器开关，电容器安装方式便于维修、更换电容。</w:t>
      </w:r>
    </w:p>
    <w:p>
      <w:pPr>
        <w:spacing w:line="46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1）、电容器主要技术参数要求</w:t>
      </w:r>
    </w:p>
    <w:p>
      <w:pPr>
        <w:spacing w:line="46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额定电压：480V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耐压1000V以上</w:t>
      </w:r>
      <w:r>
        <w:rPr>
          <w:rFonts w:hint="eastAsia" w:ascii="宋体" w:hAnsi="宋体" w:cs="宋体"/>
          <w:sz w:val="28"/>
          <w:szCs w:val="28"/>
        </w:rPr>
        <w:t>，与电抗率7%匹配，满足系统要求</w:t>
      </w:r>
    </w:p>
    <w:p>
      <w:pPr>
        <w:spacing w:line="46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电容允差：在额定电压、额定频率范围下测量，电容偏差≤0 % ~+ 3%；在三相单元中，任意两线路端子间测电容，最大值/最小值之比≤1.08；过电流能力：≥2.0×In。</w:t>
      </w:r>
    </w:p>
    <w:p>
      <w:pPr>
        <w:spacing w:line="46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耐压要求：</w:t>
      </w:r>
    </w:p>
    <w:p>
      <w:pPr>
        <w:spacing w:line="46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端子之间耐交流电压：2.15×Un，10s；</w:t>
      </w:r>
    </w:p>
    <w:p>
      <w:pPr>
        <w:spacing w:line="46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端子与外壳间耐交流电压：≥3kV，60s；</w:t>
      </w:r>
    </w:p>
    <w:p>
      <w:pPr>
        <w:spacing w:line="46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热稳定性：在热稳定性试验的最后6h内，温升增加 ≤1K；</w:t>
      </w:r>
    </w:p>
    <w:p>
      <w:pPr>
        <w:spacing w:line="46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试验前后，电容变化量≤1%；</w:t>
      </w:r>
    </w:p>
    <w:p>
      <w:pPr>
        <w:spacing w:line="46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试验前后，损耗角正切增量≤1×10</w:t>
      </w:r>
      <w:r>
        <w:rPr>
          <w:rFonts w:hint="eastAsia" w:ascii="宋体" w:hAnsi="宋体" w:cs="宋体"/>
          <w:sz w:val="28"/>
          <w:szCs w:val="28"/>
          <w:vertAlign w:val="superscript"/>
        </w:rPr>
        <w:t>-4</w:t>
      </w:r>
      <w:bookmarkStart w:id="19" w:name="OLE_LINK1"/>
      <w:r>
        <w:rPr>
          <w:rFonts w:hint="eastAsia" w:ascii="宋体" w:hAnsi="宋体" w:cs="宋体"/>
          <w:sz w:val="28"/>
          <w:szCs w:val="28"/>
        </w:rPr>
        <w:t>；</w:t>
      </w:r>
    </w:p>
    <w:p>
      <w:pPr>
        <w:spacing w:line="46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提供试验前后数据。</w:t>
      </w:r>
    </w:p>
    <w:bookmarkEnd w:id="19"/>
    <w:p>
      <w:pPr>
        <w:spacing w:line="46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2）、 串联（滤波）电抗器主要技术要求：</w:t>
      </w:r>
    </w:p>
    <w:p>
      <w:pPr>
        <w:spacing w:line="46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低压串联电抗器绕组必须采用纯铜绕制而成，绕组与空气直接充分接触，无缠绕膜、绝缘纸包裹，散热性能好。</w:t>
      </w:r>
    </w:p>
    <w:p>
      <w:pPr>
        <w:spacing w:line="46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低压串联电抗器采用干式设计，铁芯采用优质硅钢片材料，具有较高的导磁能力和高线性度，避免发生磁饱和等异常现象。</w:t>
      </w:r>
    </w:p>
    <w:p>
      <w:pPr>
        <w:spacing w:line="46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低压串联电抗器具有120℃超温自保护功能，保证在过热和过载情况下对电抗器提供可靠保护，以避免设备过热损坏。</w:t>
      </w:r>
    </w:p>
    <w:p>
      <w:pPr>
        <w:spacing w:line="46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电抗器主要技术参数要求</w:t>
      </w:r>
    </w:p>
    <w:p>
      <w:pPr>
        <w:spacing w:line="46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电抗率：12.5%</w:t>
      </w:r>
    </w:p>
    <w:p>
      <w:pPr>
        <w:spacing w:line="46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绝缘等级： H级</w:t>
      </w:r>
    </w:p>
    <w:p>
      <w:pPr>
        <w:spacing w:line="46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额定电流下温升限值：≤60K</w:t>
      </w:r>
    </w:p>
    <w:p>
      <w:pPr>
        <w:spacing w:line="46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电抗器噪声允许值：≤65dB</w:t>
      </w:r>
    </w:p>
    <w:p>
      <w:pPr>
        <w:spacing w:line="46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2.2倍额定电流下，电感值偏差：</w:t>
      </w:r>
      <w:bookmarkStart w:id="20" w:name="OLE_LINK4"/>
      <w:r>
        <w:rPr>
          <w:rFonts w:hint="eastAsia" w:ascii="宋体" w:hAnsi="宋体" w:cs="宋体"/>
          <w:sz w:val="28"/>
          <w:szCs w:val="28"/>
        </w:rPr>
        <w:t>≤</w:t>
      </w:r>
      <w:bookmarkEnd w:id="20"/>
      <w:r>
        <w:rPr>
          <w:rFonts w:hint="eastAsia" w:ascii="宋体" w:hAnsi="宋体" w:cs="宋体"/>
          <w:sz w:val="28"/>
          <w:szCs w:val="28"/>
        </w:rPr>
        <w:t>±5%；</w:t>
      </w:r>
    </w:p>
    <w:p>
      <w:pPr>
        <w:spacing w:line="46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3）、功率因数控制器技术标准：</w:t>
      </w:r>
    </w:p>
    <w:p>
      <w:pPr>
        <w:spacing w:line="46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要求采用与电容器同一品牌，性能指标满足电容补偿的使用要求。</w:t>
      </w:r>
    </w:p>
    <w:p>
      <w:pPr>
        <w:spacing w:line="46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控制方式：可选择手动或自动断电时电容器自动切离，复电延迟投入；</w:t>
      </w:r>
    </w:p>
    <w:p>
      <w:pPr>
        <w:spacing w:line="46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投切控制：循环投切或比例投切；</w:t>
      </w:r>
    </w:p>
    <w:p>
      <w:pPr>
        <w:spacing w:line="46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测量显示：功率因数、有功、无功、视在功率、电压、投入段数、电容器运行时间和投切次数，以及各次谐波电压畸变率THD_V和谐波电流畸变率THD_I等参数；</w:t>
      </w:r>
    </w:p>
    <w:p>
      <w:pPr>
        <w:spacing w:line="46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控制器具有报警输出功能；</w:t>
      </w:r>
    </w:p>
    <w:p>
      <w:pPr>
        <w:spacing w:line="46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控制器具有RS485-Modbus通讯接口。</w:t>
      </w:r>
    </w:p>
    <w:p>
      <w:pPr>
        <w:spacing w:line="46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4）、晶闸管开关技术标准：</w:t>
      </w:r>
    </w:p>
    <w:p>
      <w:pPr>
        <w:spacing w:line="46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要求采用专用于电容器投切的可控硅开关，型号与电容器同一品牌,性能指标完全满足电容补偿柜的使用要求。</w:t>
      </w:r>
    </w:p>
    <w:p>
      <w:pPr>
        <w:spacing w:line="46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工作电压：400V</w:t>
      </w:r>
    </w:p>
    <w:p>
      <w:pPr>
        <w:spacing w:line="46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反向电压：1600V以上</w:t>
      </w:r>
    </w:p>
    <w:p>
      <w:pPr>
        <w:spacing w:line="46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电流抬升变化率(A/ux)：50</w:t>
      </w:r>
    </w:p>
    <w:p>
      <w:pPr>
        <w:spacing w:line="46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机械防护等级：IP20</w:t>
      </w:r>
    </w:p>
    <w:p>
      <w:pPr>
        <w:spacing w:line="46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冷却风扇功率：32W以上</w:t>
      </w:r>
    </w:p>
    <w:p>
      <w:pPr>
        <w:spacing w:line="46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可控硅模块关断温度：100℃</w:t>
      </w:r>
    </w:p>
    <w:p>
      <w:pPr>
        <w:spacing w:line="46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适用标准：IEC947-4-1 或 VDE0660。</w:t>
      </w:r>
    </w:p>
    <w:p>
      <w:pPr>
        <w:spacing w:line="360" w:lineRule="auto"/>
        <w:ind w:left="360"/>
      </w:pPr>
      <w:r>
        <w:rPr>
          <w:rFonts w:hint="eastAsia" w:ascii="宋体" w:hAnsi="宋体" w:cs="宋体"/>
          <w:sz w:val="28"/>
          <w:szCs w:val="28"/>
        </w:rPr>
        <w:t>5）、表计、控制、信号和保护回路连接用线选用阻燃聚氯乙烯绝缘，绝缘电压不小于660V，截面不小于1.5mm</w:t>
      </w:r>
      <w:r>
        <w:rPr>
          <w:rFonts w:hint="eastAsia" w:ascii="宋体" w:hAnsi="宋体" w:cs="宋体"/>
          <w:sz w:val="28"/>
          <w:szCs w:val="28"/>
          <w:vertAlign w:val="superscript"/>
        </w:rPr>
        <w:t>2</w:t>
      </w:r>
      <w:r>
        <w:rPr>
          <w:rFonts w:hint="eastAsia" w:ascii="宋体" w:hAnsi="宋体" w:cs="宋体"/>
          <w:sz w:val="28"/>
          <w:szCs w:val="28"/>
        </w:rPr>
        <w:t>的铜绞线，电流互感器回路导线截面不小于2.5mm</w:t>
      </w:r>
      <w:r>
        <w:rPr>
          <w:rFonts w:hint="eastAsia" w:ascii="宋体" w:hAnsi="宋体" w:cs="宋体"/>
          <w:sz w:val="28"/>
          <w:szCs w:val="28"/>
          <w:vertAlign w:val="superscript"/>
        </w:rPr>
        <w:t>2</w:t>
      </w:r>
      <w:r>
        <w:rPr>
          <w:rFonts w:hint="eastAsia" w:ascii="宋体" w:hAnsi="宋体" w:cs="宋体"/>
          <w:sz w:val="28"/>
          <w:szCs w:val="28"/>
        </w:rPr>
        <w:t>。所有导线牢固地夹紧，设备端子均有标识牌。对外引接电缆均经过端子排，每排端子排留有15%的备用端子，所有端子的绝缘材料必须是不吸潮和阻燃的。端子能方便地连接4.0mm</w:t>
      </w:r>
      <w:r>
        <w:rPr>
          <w:rFonts w:hint="eastAsia" w:ascii="宋体" w:hAnsi="宋体" w:cs="宋体"/>
          <w:sz w:val="28"/>
          <w:szCs w:val="28"/>
          <w:vertAlign w:val="superscript"/>
        </w:rPr>
        <w:t>2</w:t>
      </w:r>
      <w:r>
        <w:rPr>
          <w:rFonts w:hint="eastAsia" w:ascii="宋体" w:hAnsi="宋体" w:cs="宋体"/>
          <w:sz w:val="28"/>
          <w:szCs w:val="28"/>
        </w:rPr>
        <w:t>及以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上</w:t>
      </w:r>
      <w:r>
        <w:t xml:space="preserve"> </w:t>
      </w:r>
    </w:p>
    <w:p>
      <w:pPr>
        <w:pStyle w:val="5"/>
      </w:pPr>
    </w:p>
    <w:p>
      <w:pPr>
        <w:spacing w:line="360" w:lineRule="auto"/>
        <w:ind w:firstLine="280" w:firstLineChars="1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6）、柜前后及箱前应按设计要求标注编号，柜前并标注用途，位置在醒目处。柜前后标牌应采用激光刻字标牌，并采用螺栓连接或铆接。</w:t>
      </w:r>
      <w:bookmarkStart w:id="21" w:name="_Toc180508150"/>
      <w:r>
        <w:rPr>
          <w:rFonts w:hint="eastAsia" w:ascii="宋体" w:hAnsi="宋体" w:cs="宋体"/>
          <w:kern w:val="0"/>
          <w:sz w:val="28"/>
          <w:szCs w:val="28"/>
        </w:rPr>
        <w:t>主要设备供应商名单</w:t>
      </w:r>
    </w:p>
    <w:tbl>
      <w:tblPr>
        <w:tblStyle w:val="13"/>
        <w:tblW w:w="892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0"/>
        <w:gridCol w:w="2247"/>
        <w:gridCol w:w="4591"/>
        <w:gridCol w:w="128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800" w:type="dxa"/>
            <w:vAlign w:val="center"/>
          </w:tcPr>
          <w:p>
            <w:pPr>
              <w:pStyle w:val="26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47" w:type="dxa"/>
            <w:vAlign w:val="center"/>
          </w:tcPr>
          <w:p>
            <w:pPr>
              <w:pStyle w:val="26"/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4591" w:type="dxa"/>
            <w:vAlign w:val="center"/>
          </w:tcPr>
          <w:p>
            <w:pPr>
              <w:pStyle w:val="26"/>
              <w:jc w:val="center"/>
            </w:pPr>
            <w:r>
              <w:rPr>
                <w:rFonts w:hint="eastAsia"/>
              </w:rPr>
              <w:t>供应商名单</w:t>
            </w:r>
          </w:p>
        </w:tc>
        <w:tc>
          <w:tcPr>
            <w:tcW w:w="1283" w:type="dxa"/>
            <w:vAlign w:val="center"/>
          </w:tcPr>
          <w:p>
            <w:pPr>
              <w:pStyle w:val="26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00" w:type="dxa"/>
            <w:vAlign w:val="center"/>
          </w:tcPr>
          <w:p>
            <w:pPr>
              <w:pStyle w:val="26"/>
              <w:jc w:val="center"/>
            </w:pPr>
            <w:r>
              <w:t>1</w:t>
            </w:r>
          </w:p>
        </w:tc>
        <w:tc>
          <w:tcPr>
            <w:tcW w:w="2247" w:type="dxa"/>
            <w:vAlign w:val="center"/>
          </w:tcPr>
          <w:p>
            <w:pPr>
              <w:pStyle w:val="26"/>
              <w:jc w:val="center"/>
            </w:pPr>
            <w:r>
              <w:rPr>
                <w:rFonts w:hint="eastAsia"/>
              </w:rPr>
              <w:t>熔断式隔离开关</w:t>
            </w:r>
          </w:p>
        </w:tc>
        <w:tc>
          <w:tcPr>
            <w:tcW w:w="4591" w:type="dxa"/>
            <w:vAlign w:val="center"/>
          </w:tcPr>
          <w:p>
            <w:pPr>
              <w:pStyle w:val="26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 xml:space="preserve">北元BG1，常熟CM5G， </w:t>
            </w:r>
            <w:r>
              <w:rPr>
                <w:rFonts w:hint="eastAsia"/>
                <w:lang w:val="en-US" w:eastAsia="zh-CN"/>
              </w:rPr>
              <w:t>上海人民</w:t>
            </w:r>
          </w:p>
        </w:tc>
        <w:tc>
          <w:tcPr>
            <w:tcW w:w="1283" w:type="dxa"/>
            <w:vAlign w:val="center"/>
          </w:tcPr>
          <w:p>
            <w:pPr>
              <w:pStyle w:val="26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00" w:type="dxa"/>
            <w:vAlign w:val="center"/>
          </w:tcPr>
          <w:p>
            <w:pPr>
              <w:pStyle w:val="26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47" w:type="dxa"/>
            <w:vAlign w:val="center"/>
          </w:tcPr>
          <w:p>
            <w:pPr>
              <w:pStyle w:val="26"/>
              <w:jc w:val="center"/>
            </w:pPr>
            <w:r>
              <w:rPr>
                <w:rFonts w:hint="eastAsia"/>
              </w:rPr>
              <w:t>塑壳断路器</w:t>
            </w:r>
          </w:p>
        </w:tc>
        <w:tc>
          <w:tcPr>
            <w:tcW w:w="4591" w:type="dxa"/>
            <w:vAlign w:val="center"/>
          </w:tcPr>
          <w:p>
            <w:pPr>
              <w:pStyle w:val="26"/>
            </w:pPr>
            <w:r>
              <w:rPr>
                <w:rFonts w:hint="eastAsia"/>
              </w:rPr>
              <w:t>北元BM3，常熟CM5，</w:t>
            </w:r>
            <w:r>
              <w:rPr>
                <w:rFonts w:hint="eastAsia"/>
                <w:lang w:val="en-US" w:eastAsia="zh-CN"/>
              </w:rPr>
              <w:t>上海人民</w:t>
            </w:r>
          </w:p>
        </w:tc>
        <w:tc>
          <w:tcPr>
            <w:tcW w:w="1283" w:type="dxa"/>
            <w:vAlign w:val="center"/>
          </w:tcPr>
          <w:p>
            <w:pPr>
              <w:pStyle w:val="26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00" w:type="dxa"/>
            <w:vAlign w:val="center"/>
          </w:tcPr>
          <w:p>
            <w:pPr>
              <w:pStyle w:val="26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47" w:type="dxa"/>
            <w:vAlign w:val="center"/>
          </w:tcPr>
          <w:p>
            <w:pPr>
              <w:pStyle w:val="26"/>
              <w:jc w:val="center"/>
            </w:pPr>
            <w:r>
              <w:t>电容控制器</w:t>
            </w:r>
          </w:p>
        </w:tc>
        <w:tc>
          <w:tcPr>
            <w:tcW w:w="4591" w:type="dxa"/>
            <w:vAlign w:val="center"/>
          </w:tcPr>
          <w:p>
            <w:pPr>
              <w:pStyle w:val="26"/>
            </w:pPr>
            <w:r>
              <w:rPr>
                <w:rFonts w:hint="eastAsia"/>
              </w:rPr>
              <w:t>深圳盛弘，爱普科斯,金米勒</w:t>
            </w:r>
          </w:p>
        </w:tc>
        <w:tc>
          <w:tcPr>
            <w:tcW w:w="1283" w:type="dxa"/>
            <w:vAlign w:val="center"/>
          </w:tcPr>
          <w:p>
            <w:pPr>
              <w:pStyle w:val="26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00" w:type="dxa"/>
            <w:vAlign w:val="center"/>
          </w:tcPr>
          <w:p>
            <w:pPr>
              <w:pStyle w:val="26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47" w:type="dxa"/>
            <w:vAlign w:val="center"/>
          </w:tcPr>
          <w:p>
            <w:pPr>
              <w:pStyle w:val="26"/>
              <w:jc w:val="center"/>
            </w:pPr>
            <w:r>
              <w:rPr>
                <w:rFonts w:hint="eastAsia"/>
              </w:rPr>
              <w:t>接触器</w:t>
            </w:r>
          </w:p>
        </w:tc>
        <w:tc>
          <w:tcPr>
            <w:tcW w:w="4591" w:type="dxa"/>
            <w:vAlign w:val="center"/>
          </w:tcPr>
          <w:p>
            <w:pPr>
              <w:pStyle w:val="26"/>
            </w:pPr>
            <w:r>
              <w:rPr>
                <w:rFonts w:hint="eastAsia"/>
              </w:rPr>
              <w:t xml:space="preserve">北元BC2， 常熟CK3， </w:t>
            </w:r>
            <w:r>
              <w:rPr>
                <w:rFonts w:hint="eastAsia"/>
                <w:lang w:val="en-US" w:eastAsia="zh-CN"/>
              </w:rPr>
              <w:t>上海人民</w:t>
            </w:r>
          </w:p>
        </w:tc>
        <w:tc>
          <w:tcPr>
            <w:tcW w:w="1283" w:type="dxa"/>
            <w:vAlign w:val="center"/>
          </w:tcPr>
          <w:p>
            <w:pPr>
              <w:pStyle w:val="26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00" w:type="dxa"/>
            <w:vAlign w:val="center"/>
          </w:tcPr>
          <w:p>
            <w:pPr>
              <w:pStyle w:val="26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47" w:type="dxa"/>
            <w:vAlign w:val="center"/>
          </w:tcPr>
          <w:p>
            <w:pPr>
              <w:pStyle w:val="26"/>
            </w:pPr>
            <w:r>
              <w:rPr>
                <w:rFonts w:hint="eastAsia"/>
              </w:rPr>
              <w:t>电容器，电抗器</w:t>
            </w:r>
          </w:p>
        </w:tc>
        <w:tc>
          <w:tcPr>
            <w:tcW w:w="4591" w:type="dxa"/>
            <w:vAlign w:val="center"/>
          </w:tcPr>
          <w:p>
            <w:pPr>
              <w:pStyle w:val="26"/>
            </w:pPr>
            <w:r>
              <w:rPr>
                <w:rFonts w:hint="eastAsia"/>
              </w:rPr>
              <w:t>深圳盛弘，爱普科斯,金米勒</w:t>
            </w:r>
          </w:p>
        </w:tc>
        <w:tc>
          <w:tcPr>
            <w:tcW w:w="1283" w:type="dxa"/>
            <w:vAlign w:val="center"/>
          </w:tcPr>
          <w:p>
            <w:pPr>
              <w:pStyle w:val="26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00" w:type="dxa"/>
            <w:vAlign w:val="center"/>
          </w:tcPr>
          <w:p>
            <w:pPr>
              <w:pStyle w:val="26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47" w:type="dxa"/>
            <w:vAlign w:val="center"/>
          </w:tcPr>
          <w:p>
            <w:pPr>
              <w:pStyle w:val="26"/>
              <w:jc w:val="center"/>
            </w:pPr>
            <w:r>
              <w:rPr>
                <w:rFonts w:hint="eastAsia" w:cs="宋体"/>
                <w:sz w:val="28"/>
                <w:szCs w:val="28"/>
              </w:rPr>
              <w:t>晶闸管</w:t>
            </w:r>
          </w:p>
        </w:tc>
        <w:tc>
          <w:tcPr>
            <w:tcW w:w="4591" w:type="dxa"/>
            <w:vAlign w:val="center"/>
          </w:tcPr>
          <w:p>
            <w:pPr>
              <w:pStyle w:val="26"/>
            </w:pPr>
            <w:r>
              <w:rPr>
                <w:rFonts w:hint="eastAsia"/>
              </w:rPr>
              <w:t>深圳盛弘，爱普科斯,金米勒</w:t>
            </w:r>
          </w:p>
        </w:tc>
        <w:tc>
          <w:tcPr>
            <w:tcW w:w="1283" w:type="dxa"/>
            <w:vAlign w:val="center"/>
          </w:tcPr>
          <w:p>
            <w:pPr>
              <w:pStyle w:val="26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00" w:type="dxa"/>
            <w:vAlign w:val="center"/>
          </w:tcPr>
          <w:p>
            <w:pPr>
              <w:pStyle w:val="26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47" w:type="dxa"/>
            <w:vAlign w:val="center"/>
          </w:tcPr>
          <w:p>
            <w:pPr>
              <w:pStyle w:val="26"/>
              <w:jc w:val="center"/>
            </w:pPr>
            <w:r>
              <w:rPr>
                <w:rFonts w:hint="eastAsia"/>
              </w:rPr>
              <w:t>端子排</w:t>
            </w:r>
          </w:p>
        </w:tc>
        <w:tc>
          <w:tcPr>
            <w:tcW w:w="4591" w:type="dxa"/>
            <w:vAlign w:val="center"/>
          </w:tcPr>
          <w:p>
            <w:pPr>
              <w:pStyle w:val="26"/>
            </w:pPr>
            <w:r>
              <w:rPr>
                <w:rFonts w:hint="eastAsia"/>
              </w:rPr>
              <w:t>菲尼克斯、魏德米勒</w:t>
            </w:r>
          </w:p>
        </w:tc>
        <w:tc>
          <w:tcPr>
            <w:tcW w:w="1283" w:type="dxa"/>
            <w:vAlign w:val="center"/>
          </w:tcPr>
          <w:p>
            <w:pPr>
              <w:pStyle w:val="26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00" w:type="dxa"/>
            <w:vAlign w:val="center"/>
          </w:tcPr>
          <w:p>
            <w:pPr>
              <w:pStyle w:val="26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47" w:type="dxa"/>
            <w:vAlign w:val="center"/>
          </w:tcPr>
          <w:p>
            <w:pPr>
              <w:pStyle w:val="26"/>
              <w:jc w:val="center"/>
            </w:pPr>
            <w:r>
              <w:t>多功能仪表</w:t>
            </w:r>
          </w:p>
        </w:tc>
        <w:tc>
          <w:tcPr>
            <w:tcW w:w="4591" w:type="dxa"/>
            <w:vAlign w:val="center"/>
          </w:tcPr>
          <w:p>
            <w:pPr>
              <w:pStyle w:val="26"/>
            </w:pPr>
            <w:r>
              <w:rPr>
                <w:rFonts w:hint="eastAsia"/>
              </w:rPr>
              <w:t>爱瑟菲，爱博精电，深圳中电等</w:t>
            </w:r>
          </w:p>
        </w:tc>
        <w:tc>
          <w:tcPr>
            <w:tcW w:w="1283" w:type="dxa"/>
            <w:vAlign w:val="center"/>
          </w:tcPr>
          <w:p>
            <w:pPr>
              <w:pStyle w:val="26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00" w:type="dxa"/>
            <w:vAlign w:val="center"/>
          </w:tcPr>
          <w:p>
            <w:pPr>
              <w:pStyle w:val="26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47" w:type="dxa"/>
            <w:vAlign w:val="center"/>
          </w:tcPr>
          <w:p>
            <w:pPr>
              <w:pStyle w:val="26"/>
              <w:jc w:val="center"/>
            </w:pPr>
            <w:r>
              <w:rPr>
                <w:rFonts w:hint="eastAsia"/>
              </w:rPr>
              <w:t>电流互感器</w:t>
            </w:r>
          </w:p>
        </w:tc>
        <w:tc>
          <w:tcPr>
            <w:tcW w:w="4591" w:type="dxa"/>
            <w:vAlign w:val="center"/>
          </w:tcPr>
          <w:p>
            <w:pPr>
              <w:pStyle w:val="26"/>
            </w:pPr>
            <w:r>
              <w:rPr>
                <w:rFonts w:hint="eastAsia"/>
              </w:rPr>
              <w:t>大连一互 大连</w:t>
            </w: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互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大连北方，</w:t>
            </w:r>
          </w:p>
        </w:tc>
        <w:tc>
          <w:tcPr>
            <w:tcW w:w="1283" w:type="dxa"/>
            <w:vAlign w:val="center"/>
          </w:tcPr>
          <w:p>
            <w:pPr>
              <w:pStyle w:val="26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00" w:type="dxa"/>
            <w:vAlign w:val="center"/>
          </w:tcPr>
          <w:p>
            <w:pPr>
              <w:pStyle w:val="26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47" w:type="dxa"/>
            <w:vAlign w:val="center"/>
          </w:tcPr>
          <w:p>
            <w:pPr>
              <w:pStyle w:val="26"/>
              <w:jc w:val="center"/>
            </w:pPr>
          </w:p>
        </w:tc>
        <w:tc>
          <w:tcPr>
            <w:tcW w:w="4591" w:type="dxa"/>
            <w:vAlign w:val="center"/>
          </w:tcPr>
          <w:p>
            <w:pPr>
              <w:pStyle w:val="26"/>
            </w:pPr>
            <w:bookmarkStart w:id="24" w:name="_GoBack"/>
            <w:bookmarkEnd w:id="24"/>
          </w:p>
        </w:tc>
        <w:tc>
          <w:tcPr>
            <w:tcW w:w="1283" w:type="dxa"/>
            <w:vAlign w:val="center"/>
          </w:tcPr>
          <w:p>
            <w:pPr>
              <w:pStyle w:val="26"/>
              <w:jc w:val="center"/>
            </w:pPr>
          </w:p>
        </w:tc>
      </w:tr>
    </w:tbl>
    <w:p>
      <w:pPr>
        <w:pStyle w:val="3"/>
        <w:rPr>
          <w:rFonts w:ascii="Times New Roman"/>
        </w:rPr>
      </w:pPr>
      <w:r>
        <w:rPr>
          <w:rFonts w:hint="eastAsia" w:ascii="Times New Roman"/>
        </w:rPr>
        <w:t>检验及试验</w:t>
      </w:r>
      <w:bookmarkEnd w:id="21"/>
    </w:p>
    <w:p>
      <w:pPr>
        <w:numPr>
          <w:ilvl w:val="0"/>
          <w:numId w:val="5"/>
        </w:numPr>
        <w:spacing w:line="360" w:lineRule="auto"/>
        <w:rPr>
          <w:sz w:val="24"/>
        </w:rPr>
      </w:pPr>
      <w:r>
        <w:rPr>
          <w:rFonts w:hint="eastAsia"/>
          <w:sz w:val="24"/>
        </w:rPr>
        <w:t>设备检验分为出厂试验（例行试验）和型式试验。</w:t>
      </w:r>
    </w:p>
    <w:p>
      <w:pPr>
        <w:numPr>
          <w:ilvl w:val="0"/>
          <w:numId w:val="5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卖方应提供有效的型式试验证明文件及试验报告。试验应符合本技术协议要求的标准，技术数据水平不应低于本技术协议的要求。</w:t>
      </w:r>
    </w:p>
    <w:p>
      <w:pPr>
        <w:numPr>
          <w:ilvl w:val="0"/>
          <w:numId w:val="5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出厂设备应逐台进行出厂试验，试验合格后方可给予出厂合格证；并提交试验报告。</w:t>
      </w:r>
    </w:p>
    <w:p>
      <w:pPr>
        <w:numPr>
          <w:ilvl w:val="0"/>
          <w:numId w:val="5"/>
        </w:numPr>
        <w:spacing w:line="360" w:lineRule="auto"/>
        <w:rPr>
          <w:sz w:val="24"/>
        </w:rPr>
      </w:pPr>
      <w:r>
        <w:rPr>
          <w:rFonts w:hint="eastAsia"/>
          <w:sz w:val="24"/>
        </w:rPr>
        <w:t>试验项目及试验方法应按照本技术协议所列的标准实行，同时应包括关于供货设备相应的国家标准及规范中要求的试验项目。</w:t>
      </w:r>
    </w:p>
    <w:p>
      <w:pPr>
        <w:numPr>
          <w:ilvl w:val="0"/>
          <w:numId w:val="5"/>
        </w:numPr>
        <w:spacing w:line="360" w:lineRule="auto"/>
        <w:rPr>
          <w:sz w:val="24"/>
        </w:rPr>
      </w:pPr>
      <w:r>
        <w:rPr>
          <w:rFonts w:hint="eastAsia"/>
          <w:sz w:val="24"/>
        </w:rPr>
        <w:t>买方在设备生产过程中的设备监制，包括对原材料的检验、整个产品制作过程、出厂试验等，卖方应积极配合，不得以任何形式拒绝买方设备监制活动。</w:t>
      </w:r>
    </w:p>
    <w:p>
      <w:pPr>
        <w:numPr>
          <w:ilvl w:val="0"/>
          <w:numId w:val="5"/>
        </w:numPr>
        <w:spacing w:line="360" w:lineRule="auto"/>
        <w:rPr>
          <w:sz w:val="24"/>
        </w:rPr>
      </w:pPr>
      <w:r>
        <w:rPr>
          <w:rFonts w:hint="eastAsia"/>
          <w:sz w:val="24"/>
        </w:rPr>
        <w:t>设备出厂前卖方与买方共同在制造厂按合同规定对设备进行检验、试验、试运转。卖方应提前提供检验要领书（包括设备名称规格、检验项目、检验方法、检验工器具、实施示意图、检验标准、判断基准）等全套检验资料，双方协商一致后作为检验依据之一。</w:t>
      </w:r>
    </w:p>
    <w:p>
      <w:pPr>
        <w:pStyle w:val="3"/>
        <w:rPr>
          <w:rFonts w:ascii="Times New Roman"/>
        </w:rPr>
      </w:pPr>
      <w:bookmarkStart w:id="22" w:name="_Toc180508152"/>
      <w:r>
        <w:rPr>
          <w:rFonts w:hint="eastAsia" w:ascii="Times New Roman"/>
        </w:rPr>
        <w:t>包装、贮存及运输</w:t>
      </w:r>
      <w:bookmarkEnd w:id="22"/>
    </w:p>
    <w:p>
      <w:pPr>
        <w:numPr>
          <w:ilvl w:val="0"/>
          <w:numId w:val="6"/>
        </w:numPr>
        <w:spacing w:line="360" w:lineRule="auto"/>
        <w:rPr>
          <w:sz w:val="24"/>
        </w:rPr>
      </w:pPr>
      <w:bookmarkStart w:id="23" w:name="_Toc466204804"/>
      <w:r>
        <w:rPr>
          <w:rFonts w:hint="eastAsia"/>
          <w:sz w:val="24"/>
        </w:rPr>
        <w:t>设备制造完成并通过试验后，应及时包装，否则应得到切实保护，确保其不受污损。</w:t>
      </w:r>
    </w:p>
    <w:p>
      <w:pPr>
        <w:numPr>
          <w:ilvl w:val="0"/>
          <w:numId w:val="6"/>
        </w:num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所有部件经妥善包装或装箱后，在运输过程中应采取其他防护措施，以免散失损坏或被盗。</w:t>
      </w:r>
    </w:p>
    <w:p>
      <w:pPr>
        <w:numPr>
          <w:ilvl w:val="0"/>
          <w:numId w:val="6"/>
        </w:num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在包装箱外应标明需方的订货号、发货号。</w:t>
      </w:r>
    </w:p>
    <w:p>
      <w:pPr>
        <w:numPr>
          <w:ilvl w:val="0"/>
          <w:numId w:val="6"/>
        </w:num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各种包装应确保各零碎部件在运输过程中不致遭到损坏、丢失、变形、受潮和腐蚀。</w:t>
      </w:r>
    </w:p>
    <w:p>
      <w:pPr>
        <w:numPr>
          <w:ilvl w:val="0"/>
          <w:numId w:val="6"/>
        </w:num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包装箱上应有明显的包装储运图示标志。</w:t>
      </w:r>
    </w:p>
    <w:p>
      <w:pPr>
        <w:numPr>
          <w:ilvl w:val="0"/>
          <w:numId w:val="6"/>
        </w:num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整体产品或分别运输的部件都要适合运输和装载的要求。</w:t>
      </w:r>
    </w:p>
    <w:p>
      <w:pPr>
        <w:numPr>
          <w:ilvl w:val="0"/>
          <w:numId w:val="6"/>
        </w:num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开箱和吊运的内容，应详细说明所需的专用工具、工作程序及方法。</w:t>
      </w:r>
    </w:p>
    <w:p>
      <w:pPr>
        <w:numPr>
          <w:ilvl w:val="0"/>
          <w:numId w:val="6"/>
        </w:num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当设备某一或所有功能单元需拆开运输时，所有部分应标志清楚，这些部分的配件图应随设备一起提供。</w:t>
      </w:r>
    </w:p>
    <w:p>
      <w:pPr>
        <w:numPr>
          <w:ilvl w:val="0"/>
          <w:numId w:val="6"/>
        </w:num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随产品提供的技术资料应完整无缺。装箱时随附下列资料：</w:t>
      </w:r>
    </w:p>
    <w:p>
      <w:pPr>
        <w:numPr>
          <w:ilvl w:val="0"/>
          <w:numId w:val="7"/>
        </w:numPr>
        <w:spacing w:line="360" w:lineRule="auto"/>
        <w:rPr>
          <w:sz w:val="24"/>
        </w:rPr>
      </w:pPr>
      <w:r>
        <w:rPr>
          <w:rFonts w:hint="eastAsia"/>
          <w:sz w:val="24"/>
        </w:rPr>
        <w:t>装箱文件资料清单</w:t>
      </w:r>
    </w:p>
    <w:p>
      <w:pPr>
        <w:numPr>
          <w:ilvl w:val="0"/>
          <w:numId w:val="7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安装、维护使用说明书</w:t>
      </w:r>
    </w:p>
    <w:p>
      <w:pPr>
        <w:numPr>
          <w:ilvl w:val="0"/>
          <w:numId w:val="7"/>
        </w:numPr>
        <w:spacing w:line="360" w:lineRule="auto"/>
        <w:rPr>
          <w:sz w:val="24"/>
        </w:rPr>
      </w:pPr>
      <w:r>
        <w:rPr>
          <w:rFonts w:hint="eastAsia"/>
          <w:sz w:val="24"/>
        </w:rPr>
        <w:t>产品合格证</w:t>
      </w:r>
    </w:p>
    <w:p>
      <w:pPr>
        <w:numPr>
          <w:ilvl w:val="0"/>
          <w:numId w:val="7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出厂试验报告</w:t>
      </w:r>
    </w:p>
    <w:p>
      <w:pPr>
        <w:numPr>
          <w:ilvl w:val="0"/>
          <w:numId w:val="7"/>
        </w:numPr>
        <w:spacing w:line="360" w:lineRule="auto"/>
        <w:rPr>
          <w:sz w:val="24"/>
        </w:rPr>
      </w:pPr>
      <w:r>
        <w:rPr>
          <w:rFonts w:hint="eastAsia"/>
          <w:sz w:val="24"/>
        </w:rPr>
        <w:t>电气原理图和接线图</w:t>
      </w:r>
    </w:p>
    <w:p>
      <w:pPr>
        <w:numPr>
          <w:ilvl w:val="0"/>
          <w:numId w:val="7"/>
        </w:numPr>
        <w:spacing w:line="360" w:lineRule="auto"/>
        <w:rPr>
          <w:sz w:val="24"/>
        </w:rPr>
      </w:pPr>
      <w:r>
        <w:rPr>
          <w:rFonts w:hint="eastAsia"/>
          <w:sz w:val="24"/>
        </w:rPr>
        <w:t>装箱清单</w:t>
      </w:r>
    </w:p>
    <w:bookmarkEnd w:id="23"/>
    <w:p>
      <w:pPr>
        <w:pStyle w:val="2"/>
      </w:pP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AC185D"/>
    <w:multiLevelType w:val="multilevel"/>
    <w:tmpl w:val="03AC185D"/>
    <w:lvl w:ilvl="0" w:tentative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46B1FED"/>
    <w:multiLevelType w:val="multilevel"/>
    <w:tmpl w:val="046B1FED"/>
    <w:lvl w:ilvl="0" w:tentative="0">
      <w:start w:val="1"/>
      <w:numFmt w:val="decimal"/>
      <w:pStyle w:val="3"/>
      <w:suff w:val="space"/>
      <w:lvlText w:val="%1.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284" w:firstLine="0"/>
      </w:pPr>
      <w:rPr>
        <w:rFonts w:hint="eastAsia"/>
      </w:rPr>
    </w:lvl>
    <w:lvl w:ilvl="2" w:tentative="0">
      <w:start w:val="1"/>
      <w:numFmt w:val="decimal"/>
      <w:pStyle w:val="6"/>
      <w:suff w:val="space"/>
      <w:lvlText w:val="%3)"/>
      <w:lvlJc w:val="left"/>
      <w:pPr>
        <w:ind w:left="0" w:firstLine="0"/>
      </w:pPr>
      <w:rPr>
        <w:rFonts w:ascii="Arial" w:hAnsi="Arial" w:eastAsia="宋体" w:cs="Arial"/>
      </w:rPr>
    </w:lvl>
    <w:lvl w:ilvl="3" w:tentative="0">
      <w:start w:val="1"/>
      <w:numFmt w:val="decimal"/>
      <w:pStyle w:val="7"/>
      <w:suff w:val="space"/>
      <w:lvlText w:val="%1.%2.%3.%4"/>
      <w:lvlJc w:val="left"/>
      <w:pPr>
        <w:ind w:left="1720" w:firstLine="0"/>
      </w:pPr>
      <w:rPr>
        <w:rFonts w:hint="eastAsia"/>
      </w:rPr>
    </w:lvl>
    <w:lvl w:ilvl="4" w:tentative="0">
      <w:start w:val="1"/>
      <w:numFmt w:val="decimal"/>
      <w:pStyle w:val="8"/>
      <w:suff w:val="space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pStyle w:val="9"/>
      <w:suff w:val="space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pStyle w:val="10"/>
      <w:lvlText w:val="%1.%2.%3.%4.%5.%6.%7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7" w:tentative="0">
      <w:start w:val="1"/>
      <w:numFmt w:val="decimal"/>
      <w:pStyle w:val="11"/>
      <w:lvlText w:val="%1.%2.%3.%4.%5.%6.%7.%8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8" w:tentative="0">
      <w:start w:val="1"/>
      <w:numFmt w:val="decimal"/>
      <w:pStyle w:val="12"/>
      <w:lvlText w:val="%1.%2.%3.%4.%5.%6.%7.%8.%9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abstractNum w:abstractNumId="2">
    <w:nsid w:val="2F840469"/>
    <w:multiLevelType w:val="multilevel"/>
    <w:tmpl w:val="2F840469"/>
    <w:lvl w:ilvl="0" w:tentative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3513F86"/>
    <w:multiLevelType w:val="multilevel"/>
    <w:tmpl w:val="43513F86"/>
    <w:lvl w:ilvl="0" w:tentative="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6" w:hanging="420"/>
      </w:pPr>
    </w:lvl>
    <w:lvl w:ilvl="2" w:tentative="0">
      <w:start w:val="1"/>
      <w:numFmt w:val="lowerRoman"/>
      <w:lvlText w:val="%3."/>
      <w:lvlJc w:val="right"/>
      <w:pPr>
        <w:ind w:left="1686" w:hanging="420"/>
      </w:pPr>
    </w:lvl>
    <w:lvl w:ilvl="3" w:tentative="0">
      <w:start w:val="1"/>
      <w:numFmt w:val="decimal"/>
      <w:lvlText w:val="%4."/>
      <w:lvlJc w:val="left"/>
      <w:pPr>
        <w:ind w:left="2106" w:hanging="420"/>
      </w:pPr>
    </w:lvl>
    <w:lvl w:ilvl="4" w:tentative="0">
      <w:start w:val="1"/>
      <w:numFmt w:val="lowerLetter"/>
      <w:lvlText w:val="%5)"/>
      <w:lvlJc w:val="left"/>
      <w:pPr>
        <w:ind w:left="2526" w:hanging="420"/>
      </w:pPr>
    </w:lvl>
    <w:lvl w:ilvl="5" w:tentative="0">
      <w:start w:val="1"/>
      <w:numFmt w:val="lowerRoman"/>
      <w:lvlText w:val="%6."/>
      <w:lvlJc w:val="right"/>
      <w:pPr>
        <w:ind w:left="2946" w:hanging="420"/>
      </w:pPr>
    </w:lvl>
    <w:lvl w:ilvl="6" w:tentative="0">
      <w:start w:val="1"/>
      <w:numFmt w:val="decimal"/>
      <w:lvlText w:val="%7."/>
      <w:lvlJc w:val="left"/>
      <w:pPr>
        <w:ind w:left="3366" w:hanging="420"/>
      </w:pPr>
    </w:lvl>
    <w:lvl w:ilvl="7" w:tentative="0">
      <w:start w:val="1"/>
      <w:numFmt w:val="lowerLetter"/>
      <w:lvlText w:val="%8)"/>
      <w:lvlJc w:val="left"/>
      <w:pPr>
        <w:ind w:left="3786" w:hanging="420"/>
      </w:pPr>
    </w:lvl>
    <w:lvl w:ilvl="8" w:tentative="0">
      <w:start w:val="1"/>
      <w:numFmt w:val="lowerRoman"/>
      <w:lvlText w:val="%9."/>
      <w:lvlJc w:val="right"/>
      <w:pPr>
        <w:ind w:left="4206" w:hanging="420"/>
      </w:pPr>
    </w:lvl>
  </w:abstractNum>
  <w:abstractNum w:abstractNumId="4">
    <w:nsid w:val="475D745F"/>
    <w:multiLevelType w:val="multilevel"/>
    <w:tmpl w:val="475D745F"/>
    <w:lvl w:ilvl="0" w:tentative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66A4F57"/>
    <w:multiLevelType w:val="multilevel"/>
    <w:tmpl w:val="666A4F57"/>
    <w:lvl w:ilvl="0" w:tentative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3A96A7A"/>
    <w:multiLevelType w:val="multilevel"/>
    <w:tmpl w:val="73A96A7A"/>
    <w:lvl w:ilvl="0" w:tentative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4NzFlNWY3NjU0ZDJmOWRiNDFiM2NmYzBkMTI3ZDAifQ=="/>
    <w:docVar w:name="KSO_WPS_MARK_KEY" w:val="dfb96266-ee52-4532-b98c-0a5edc7b1f04"/>
  </w:docVars>
  <w:rsids>
    <w:rsidRoot w:val="007F5978"/>
    <w:rsid w:val="0003167B"/>
    <w:rsid w:val="000946F0"/>
    <w:rsid w:val="000F0D19"/>
    <w:rsid w:val="00146C83"/>
    <w:rsid w:val="002C3348"/>
    <w:rsid w:val="00324FF1"/>
    <w:rsid w:val="00444DF3"/>
    <w:rsid w:val="00473236"/>
    <w:rsid w:val="00681BA3"/>
    <w:rsid w:val="006D286D"/>
    <w:rsid w:val="007C4F2D"/>
    <w:rsid w:val="007E59D7"/>
    <w:rsid w:val="007F5978"/>
    <w:rsid w:val="00862D1E"/>
    <w:rsid w:val="008F2934"/>
    <w:rsid w:val="00970D65"/>
    <w:rsid w:val="0099591D"/>
    <w:rsid w:val="00997895"/>
    <w:rsid w:val="00A122F0"/>
    <w:rsid w:val="00AA799E"/>
    <w:rsid w:val="00B07999"/>
    <w:rsid w:val="00B77306"/>
    <w:rsid w:val="00BA04E2"/>
    <w:rsid w:val="00BF2CDF"/>
    <w:rsid w:val="00CB2424"/>
    <w:rsid w:val="00D77686"/>
    <w:rsid w:val="00D87020"/>
    <w:rsid w:val="00E16D97"/>
    <w:rsid w:val="00E8719C"/>
    <w:rsid w:val="00E9025D"/>
    <w:rsid w:val="00EE4327"/>
    <w:rsid w:val="326F5779"/>
    <w:rsid w:val="5D54142D"/>
    <w:rsid w:val="7250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9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0"/>
    <w:pPr>
      <w:numPr>
        <w:ilvl w:val="0"/>
        <w:numId w:val="1"/>
      </w:numPr>
      <w:spacing w:before="100" w:beforeAutospacing="1" w:after="100" w:afterAutospacing="1"/>
      <w:outlineLvl w:val="0"/>
    </w:pPr>
    <w:rPr>
      <w:rFonts w:ascii="Arial" w:hAnsi="Arial"/>
      <w:b/>
      <w:sz w:val="28"/>
      <w:szCs w:val="28"/>
    </w:rPr>
  </w:style>
  <w:style w:type="paragraph" w:styleId="4">
    <w:name w:val="heading 2"/>
    <w:basedOn w:val="1"/>
    <w:next w:val="5"/>
    <w:link w:val="17"/>
    <w:qFormat/>
    <w:uiPriority w:val="0"/>
    <w:pPr>
      <w:keepNext/>
      <w:numPr>
        <w:ilvl w:val="1"/>
        <w:numId w:val="1"/>
      </w:numPr>
      <w:snapToGrid w:val="0"/>
      <w:spacing w:before="100" w:beforeAutospacing="1" w:after="100" w:afterAutospacing="1" w:line="360" w:lineRule="auto"/>
      <w:jc w:val="left"/>
      <w:outlineLvl w:val="1"/>
    </w:pPr>
    <w:rPr>
      <w:rFonts w:ascii="Arial" w:hAnsi="Arial"/>
      <w:b/>
      <w:sz w:val="28"/>
      <w:szCs w:val="20"/>
    </w:rPr>
  </w:style>
  <w:style w:type="paragraph" w:styleId="6">
    <w:name w:val="heading 3"/>
    <w:basedOn w:val="1"/>
    <w:next w:val="5"/>
    <w:link w:val="18"/>
    <w:qFormat/>
    <w:uiPriority w:val="0"/>
    <w:pPr>
      <w:keepNext/>
      <w:numPr>
        <w:ilvl w:val="2"/>
        <w:numId w:val="1"/>
      </w:numPr>
      <w:snapToGrid w:val="0"/>
      <w:spacing w:before="20" w:after="20"/>
      <w:outlineLvl w:val="2"/>
    </w:pPr>
    <w:rPr>
      <w:rFonts w:ascii="Arial" w:hAnsi="Arial"/>
      <w:sz w:val="28"/>
      <w:szCs w:val="20"/>
    </w:rPr>
  </w:style>
  <w:style w:type="paragraph" w:styleId="7">
    <w:name w:val="heading 4"/>
    <w:basedOn w:val="1"/>
    <w:next w:val="5"/>
    <w:link w:val="19"/>
    <w:qFormat/>
    <w:uiPriority w:val="9"/>
    <w:pPr>
      <w:keepNext/>
      <w:numPr>
        <w:ilvl w:val="3"/>
        <w:numId w:val="1"/>
      </w:numPr>
      <w:spacing w:before="20" w:after="20"/>
      <w:jc w:val="center"/>
      <w:outlineLvl w:val="3"/>
    </w:pPr>
    <w:rPr>
      <w:rFonts w:ascii="Arial" w:hAnsi="Arial"/>
      <w:b/>
      <w:sz w:val="28"/>
      <w:szCs w:val="20"/>
    </w:rPr>
  </w:style>
  <w:style w:type="paragraph" w:styleId="8">
    <w:name w:val="heading 5"/>
    <w:basedOn w:val="1"/>
    <w:next w:val="5"/>
    <w:link w:val="20"/>
    <w:qFormat/>
    <w:uiPriority w:val="0"/>
    <w:pPr>
      <w:keepNext/>
      <w:numPr>
        <w:ilvl w:val="4"/>
        <w:numId w:val="1"/>
      </w:numPr>
      <w:spacing w:before="20"/>
      <w:outlineLvl w:val="4"/>
    </w:pPr>
    <w:rPr>
      <w:rFonts w:ascii="Arial" w:hAnsi="Arial"/>
      <w:b/>
      <w:sz w:val="16"/>
      <w:szCs w:val="20"/>
    </w:rPr>
  </w:style>
  <w:style w:type="paragraph" w:styleId="9">
    <w:name w:val="heading 6"/>
    <w:basedOn w:val="1"/>
    <w:next w:val="5"/>
    <w:link w:val="21"/>
    <w:qFormat/>
    <w:uiPriority w:val="0"/>
    <w:pPr>
      <w:numPr>
        <w:ilvl w:val="5"/>
        <w:numId w:val="1"/>
      </w:numPr>
      <w:tabs>
        <w:tab w:val="left" w:pos="4305"/>
      </w:tabs>
      <w:spacing w:line="360" w:lineRule="auto"/>
      <w:outlineLvl w:val="5"/>
    </w:pPr>
    <w:rPr>
      <w:rFonts w:ascii="Arial" w:hAnsi="Arial" w:eastAsia="仿宋体"/>
      <w:sz w:val="28"/>
      <w:szCs w:val="20"/>
    </w:rPr>
  </w:style>
  <w:style w:type="paragraph" w:styleId="10">
    <w:name w:val="heading 7"/>
    <w:basedOn w:val="1"/>
    <w:next w:val="5"/>
    <w:link w:val="22"/>
    <w:qFormat/>
    <w:uiPriority w:val="0"/>
    <w:pPr>
      <w:numPr>
        <w:ilvl w:val="6"/>
        <w:numId w:val="1"/>
      </w:numPr>
      <w:tabs>
        <w:tab w:val="left" w:pos="1152"/>
        <w:tab w:val="left" w:pos="4305"/>
      </w:tabs>
      <w:spacing w:line="360" w:lineRule="auto"/>
      <w:outlineLvl w:val="6"/>
    </w:pPr>
    <w:rPr>
      <w:rFonts w:ascii="Arial" w:hAnsi="Arial" w:eastAsia="仿宋体"/>
      <w:sz w:val="28"/>
      <w:szCs w:val="20"/>
    </w:rPr>
  </w:style>
  <w:style w:type="paragraph" w:styleId="11">
    <w:name w:val="heading 8"/>
    <w:basedOn w:val="1"/>
    <w:next w:val="1"/>
    <w:link w:val="23"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hAnsi="Arial" w:eastAsia="黑体"/>
      <w:sz w:val="24"/>
      <w:szCs w:val="20"/>
    </w:rPr>
  </w:style>
  <w:style w:type="paragraph" w:styleId="12">
    <w:name w:val="heading 9"/>
    <w:basedOn w:val="1"/>
    <w:next w:val="1"/>
    <w:link w:val="24"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hAnsi="Arial" w:eastAsia="黑体"/>
      <w:szCs w:val="20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unhideWhenUsed/>
    <w:qFormat/>
    <w:uiPriority w:val="99"/>
    <w:pPr>
      <w:spacing w:after="120"/>
    </w:pPr>
  </w:style>
  <w:style w:type="paragraph" w:styleId="5">
    <w:name w:val="Normal Indent"/>
    <w:basedOn w:val="1"/>
    <w:qFormat/>
    <w:uiPriority w:val="0"/>
    <w:pPr>
      <w:ind w:firstLine="420"/>
    </w:pPr>
    <w:rPr>
      <w:rFonts w:ascii="Times New Roman" w:hAnsi="Times New Roman"/>
      <w:szCs w:val="20"/>
    </w:rPr>
  </w:style>
  <w:style w:type="character" w:customStyle="1" w:styleId="15">
    <w:name w:val="正文文本 Char"/>
    <w:basedOn w:val="14"/>
    <w:link w:val="2"/>
    <w:qFormat/>
    <w:uiPriority w:val="99"/>
    <w:rPr>
      <w:rFonts w:ascii="Calibri" w:hAnsi="Calibri" w:eastAsia="宋体" w:cs="Times New Roman"/>
      <w:szCs w:val="24"/>
    </w:rPr>
  </w:style>
  <w:style w:type="character" w:customStyle="1" w:styleId="16">
    <w:name w:val="标题 1 Char"/>
    <w:basedOn w:val="14"/>
    <w:link w:val="3"/>
    <w:qFormat/>
    <w:uiPriority w:val="0"/>
    <w:rPr>
      <w:rFonts w:ascii="Arial" w:hAnsi="Arial" w:eastAsia="宋体" w:cs="Times New Roman"/>
      <w:b/>
      <w:sz w:val="28"/>
      <w:szCs w:val="28"/>
    </w:rPr>
  </w:style>
  <w:style w:type="character" w:customStyle="1" w:styleId="17">
    <w:name w:val="标题 2 Char"/>
    <w:basedOn w:val="14"/>
    <w:link w:val="4"/>
    <w:qFormat/>
    <w:uiPriority w:val="0"/>
    <w:rPr>
      <w:rFonts w:ascii="Arial" w:hAnsi="Arial" w:eastAsia="宋体" w:cs="Times New Roman"/>
      <w:b/>
      <w:sz w:val="28"/>
      <w:szCs w:val="20"/>
    </w:rPr>
  </w:style>
  <w:style w:type="character" w:customStyle="1" w:styleId="18">
    <w:name w:val="标题 3 Char"/>
    <w:basedOn w:val="14"/>
    <w:link w:val="6"/>
    <w:qFormat/>
    <w:uiPriority w:val="0"/>
    <w:rPr>
      <w:rFonts w:ascii="Arial" w:hAnsi="Arial" w:eastAsia="宋体" w:cs="Times New Roman"/>
      <w:sz w:val="28"/>
      <w:szCs w:val="20"/>
    </w:rPr>
  </w:style>
  <w:style w:type="character" w:customStyle="1" w:styleId="19">
    <w:name w:val="标题 4 Char"/>
    <w:basedOn w:val="14"/>
    <w:link w:val="7"/>
    <w:qFormat/>
    <w:uiPriority w:val="9"/>
    <w:rPr>
      <w:rFonts w:ascii="Arial" w:hAnsi="Arial" w:eastAsia="宋体" w:cs="Times New Roman"/>
      <w:b/>
      <w:sz w:val="28"/>
      <w:szCs w:val="20"/>
    </w:rPr>
  </w:style>
  <w:style w:type="character" w:customStyle="1" w:styleId="20">
    <w:name w:val="标题 5 Char"/>
    <w:basedOn w:val="14"/>
    <w:link w:val="8"/>
    <w:qFormat/>
    <w:uiPriority w:val="0"/>
    <w:rPr>
      <w:rFonts w:ascii="Arial" w:hAnsi="Arial" w:eastAsia="宋体" w:cs="Times New Roman"/>
      <w:b/>
      <w:sz w:val="16"/>
      <w:szCs w:val="20"/>
    </w:rPr>
  </w:style>
  <w:style w:type="character" w:customStyle="1" w:styleId="21">
    <w:name w:val="标题 6 Char"/>
    <w:basedOn w:val="14"/>
    <w:link w:val="9"/>
    <w:qFormat/>
    <w:uiPriority w:val="0"/>
    <w:rPr>
      <w:rFonts w:ascii="Arial" w:hAnsi="Arial" w:eastAsia="仿宋体" w:cs="Times New Roman"/>
      <w:sz w:val="28"/>
      <w:szCs w:val="20"/>
    </w:rPr>
  </w:style>
  <w:style w:type="character" w:customStyle="1" w:styleId="22">
    <w:name w:val="标题 7 Char"/>
    <w:basedOn w:val="14"/>
    <w:link w:val="10"/>
    <w:qFormat/>
    <w:uiPriority w:val="0"/>
    <w:rPr>
      <w:rFonts w:ascii="Arial" w:hAnsi="Arial" w:eastAsia="仿宋体" w:cs="Times New Roman"/>
      <w:sz w:val="28"/>
      <w:szCs w:val="20"/>
    </w:rPr>
  </w:style>
  <w:style w:type="character" w:customStyle="1" w:styleId="23">
    <w:name w:val="标题 8 Char"/>
    <w:basedOn w:val="14"/>
    <w:link w:val="11"/>
    <w:qFormat/>
    <w:uiPriority w:val="0"/>
    <w:rPr>
      <w:rFonts w:ascii="Arial" w:hAnsi="Arial" w:eastAsia="黑体" w:cs="Times New Roman"/>
      <w:sz w:val="24"/>
      <w:szCs w:val="20"/>
    </w:rPr>
  </w:style>
  <w:style w:type="character" w:customStyle="1" w:styleId="24">
    <w:name w:val="标题 9 Char"/>
    <w:basedOn w:val="14"/>
    <w:link w:val="12"/>
    <w:qFormat/>
    <w:uiPriority w:val="0"/>
    <w:rPr>
      <w:rFonts w:ascii="Arial" w:hAnsi="Arial" w:eastAsia="黑体" w:cs="Times New Roman"/>
      <w:szCs w:val="20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  <w:style w:type="paragraph" w:customStyle="1" w:styleId="26">
    <w:name w:val="表格文字"/>
    <w:qFormat/>
    <w:uiPriority w:val="0"/>
    <w:pPr>
      <w:widowControl w:val="0"/>
      <w:adjustRightInd w:val="0"/>
      <w:jc w:val="both"/>
      <w:textAlignment w:val="baseline"/>
    </w:pPr>
    <w:rPr>
      <w:rFonts w:ascii="宋体" w:hAnsi="宋体" w:eastAsia="宋体" w:cs="Times New Roman"/>
      <w:kern w:val="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4036</Words>
  <Characters>4462</Characters>
  <Lines>35</Lines>
  <Paragraphs>10</Paragraphs>
  <TotalTime>17</TotalTime>
  <ScaleCrop>false</ScaleCrop>
  <LinksUpToDate>false</LinksUpToDate>
  <CharactersWithSpaces>4566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2024-12-10T02:04:00Z</dcterms:created>
  <dc:creator>admin</dc:creator>
  <cp:lastModifiedBy>生命不息</cp:lastModifiedBy>
  <dcterms:modified xsi:type="dcterms:W3CDTF">2024-12-10T07:49:19Z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8D3EBE1EB10044B9BA572B9BED0C3AD2_12</vt:lpwstr>
  </property>
</Properties>
</file>