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8647"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0" w:type="dxa"/>
        </w:tblCellMar>
      </w:tblPr>
      <w:tblGrid>
        <w:gridCol w:w="8647"/>
      </w:tblGrid>
      <w:tr w14:paraId="21317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0" w:type="dxa"/>
          </w:tblCellMar>
        </w:tblPrEx>
        <w:trPr>
          <w:trHeight w:val="2835" w:hRule="atLeast"/>
          <w:jc w:val="right"/>
        </w:trPr>
        <w:tc>
          <w:tcPr>
            <w:tcW w:w="8647" w:type="dxa"/>
          </w:tcPr>
          <w:p w14:paraId="01E5EC8D">
            <w:pPr>
              <w:tabs>
                <w:tab w:val="left" w:pos="1540"/>
                <w:tab w:val="center" w:pos="4822"/>
              </w:tabs>
              <w:spacing w:line="360" w:lineRule="auto"/>
              <w:jc w:val="center"/>
              <w:rPr>
                <w:rFonts w:ascii="微软雅黑" w:hAnsi="微软雅黑" w:eastAsia="微软雅黑" w:cs="微软雅黑"/>
                <w:sz w:val="72"/>
                <w:szCs w:val="72"/>
              </w:rPr>
            </w:pPr>
            <w:r>
              <w:rPr>
                <w:rFonts w:ascii="微软雅黑" w:hAnsi="微软雅黑" w:eastAsia="微软雅黑" w:cs="微软雅黑"/>
                <w:sz w:val="48"/>
                <w:szCs w:val="48"/>
              </w:rPr>
              <mc:AlternateContent>
                <mc:Choice Requires="wps">
                  <w:drawing>
                    <wp:anchor distT="0" distB="0" distL="114300" distR="114300" simplePos="0" relativeHeight="251660288" behindDoc="0" locked="0" layoutInCell="1" hidden="1" allowOverlap="1">
                      <wp:simplePos x="0" y="0"/>
                      <wp:positionH relativeFrom="column">
                        <wp:posOffset>3530600</wp:posOffset>
                      </wp:positionH>
                      <wp:positionV relativeFrom="paragraph">
                        <wp:posOffset>344170</wp:posOffset>
                      </wp:positionV>
                      <wp:extent cx="0" cy="0"/>
                      <wp:effectExtent l="0" t="0" r="0" b="0"/>
                      <wp:wrapNone/>
                      <wp:docPr id="9" name="文本框 4" hidden="1"/>
                      <wp:cNvGraphicFramePr/>
                      <a:graphic xmlns:a="http://schemas.openxmlformats.org/drawingml/2006/main">
                        <a:graphicData uri="http://schemas.microsoft.com/office/word/2010/wordprocessingShape">
                          <wps:wsp>
                            <wps:cNvSpPr/>
                            <wps:spPr>
                              <a:xfrm>
                                <a:off x="0" y="0"/>
                                <a:ext cx="0" cy="0"/>
                              </a:xfrm>
                              <a:prstGeom prst="rect">
                                <a:avLst/>
                              </a:prstGeom>
                              <a:solidFill>
                                <a:srgbClr val="FFFFFF">
                                  <a:alpha val="0"/>
                                </a:srgbClr>
                              </a:solidFill>
                              <a:ln w="9525" cap="flat" cmpd="sng">
                                <a:solidFill>
                                  <a:srgbClr val="000000">
                                    <a:alpha val="0"/>
                                  </a:srgbClr>
                                </a:solidFill>
                                <a:prstDash val="solid"/>
                                <a:miter/>
                                <a:headEnd type="none" w="med" len="med"/>
                                <a:tailEnd type="none" w="med" len="med"/>
                              </a:ln>
                            </wps:spPr>
                            <wps:txbx>
                              <w:txbxContent>
                                <w:p w14:paraId="63A54EBB">
                                  <w:r>
                                    <w:t>E6636BC20180234D78A0072836F0BBE0F2B9B200159CAB50ACD98A3CB1382BF3EB4DBA3891C95B0C22692008384666EBF519218AC1D0AB211BBFC2287DAE1FD324DABEAD002C8487A4022FB7659F4C833BC4E71A7DAD70AF58A9919E07B92C48D9E62A9EFE3</w:t>
                                  </w:r>
                                </w:p>
                              </w:txbxContent>
                            </wps:txbx>
                            <wps:bodyPr wrap="square" anchor="t" anchorCtr="0" upright="1"/>
                          </wps:wsp>
                        </a:graphicData>
                      </a:graphic>
                    </wp:anchor>
                  </w:drawing>
                </mc:Choice>
                <mc:Fallback>
                  <w:pict>
                    <v:rect id="文本框 4" o:spid="_x0000_s1026" o:spt="1" style="position:absolute;left:0pt;margin-left:278pt;margin-top:27.1pt;height:0pt;width:0pt;visibility:hidden;z-index:251660288;mso-width-relative:page;mso-height-relative:page;" fillcolor="#FFFFFF" filled="t" stroked="t" coordsize="21600,21600" o:gfxdata="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4q8wG0wAAAAkB&#10;AAAPAAAAAAAAAAEAIAAAACIAAABkcnMvZG93bnJldi54bWxQSwECFAAUAAAACACHTuJAVXXPNCAC&#10;AACNBAAADgAAAAAAAAABACAAAAAiAQAAZHJzL2Uyb0RvYy54bWxQSwUGAAAAAAYABgBZAQAAtAUA&#10;AAAA&#10;">
                      <v:fill on="t" opacity="0f" focussize="0,0"/>
                      <v:stroke color="#000000" opacity="0f" joinstyle="miter"/>
                      <v:imagedata o:title=""/>
                      <o:lock v:ext="edit" aspectratio="f"/>
                      <v:textbox>
                        <w:txbxContent>
                          <w:p w14:paraId="63A54EBB">
                            <w:r>
                              <w:t>E6636BC20180234D78A0072836F0BBE0F2B9B200159CAB50ACD98A3CB1382BF3EB4DBA3891C95B0C22692008384666EBF519218AC1D0AB211BBFC2287DAE1FD324DABEAD002C8487A4022FB7659F4C833BC4E71A7DAD70AF58A9919E07B92C48D9E62A9EFE3</w:t>
                            </w:r>
                          </w:p>
                        </w:txbxContent>
                      </v:textbox>
                    </v:rect>
                  </w:pict>
                </mc:Fallback>
              </mc:AlternateContent>
            </w:r>
            <w:r>
              <w:rPr>
                <w:rFonts w:ascii="微软雅黑" w:hAnsi="微软雅黑" w:eastAsia="微软雅黑" w:cs="微软雅黑"/>
                <w:sz w:val="48"/>
                <w:szCs w:val="48"/>
              </w:rPr>
              <mc:AlternateContent>
                <mc:Choice Requires="wps">
                  <w:drawing>
                    <wp:anchor distT="0" distB="0" distL="114300" distR="114300" simplePos="0" relativeHeight="251659264" behindDoc="0" locked="0" layoutInCell="1" hidden="1" allowOverlap="1">
                      <wp:simplePos x="0" y="0"/>
                      <wp:positionH relativeFrom="column">
                        <wp:posOffset>3530600</wp:posOffset>
                      </wp:positionH>
                      <wp:positionV relativeFrom="paragraph">
                        <wp:posOffset>344170</wp:posOffset>
                      </wp:positionV>
                      <wp:extent cx="0" cy="0"/>
                      <wp:effectExtent l="6350" t="10795" r="12700" b="8255"/>
                      <wp:wrapNone/>
                      <wp:docPr id="2" name="文本框 1" hidden="1"/>
                      <wp:cNvGraphicFramePr/>
                      <a:graphic xmlns:a="http://schemas.openxmlformats.org/drawingml/2006/main">
                        <a:graphicData uri="http://schemas.microsoft.com/office/word/2010/wordprocessingShape">
                          <wps:wsp>
                            <wps:cNvSpPr>
                              <a:spLocks noChangeArrowheads="1"/>
                            </wps:cNvSpPr>
                            <wps:spPr bwMode="auto">
                              <a:xfrm>
                                <a:off x="0" y="0"/>
                                <a:ext cx="0" cy="0"/>
                              </a:xfrm>
                              <a:prstGeom prst="rect">
                                <a:avLst/>
                              </a:prstGeom>
                              <a:solidFill>
                                <a:srgbClr val="FFFFFF">
                                  <a:alpha val="0"/>
                                </a:srgbClr>
                              </a:solidFill>
                              <a:ln w="9525">
                                <a:solidFill>
                                  <a:srgbClr val="000000">
                                    <a:alpha val="0"/>
                                  </a:srgbClr>
                                </a:solidFill>
                                <a:miter lim="800000"/>
                              </a:ln>
                            </wps:spPr>
                            <wps:txbx>
                              <w:txbxContent>
                                <w:p w14:paraId="06635D3D">
                                  <w:r>
                                    <w:t>E6636BC20180234D78A0072836F0BE5092B9B2041A07DB50A0D98435B1EB2B095B41B23841CD7B0022992A0838460DEB3F19218AC1D0EB411BBFC2047B5E1FD324DC61ADFA22E44734F02E07635F48BF7FB4EEC875F94222480C819E3E710C38D9E620930E3</w:t>
                                  </w:r>
                                </w:p>
                              </w:txbxContent>
                            </wps:txbx>
                            <wps:bodyPr rot="0" vert="horz" wrap="square" lIns="91440" tIns="45720" rIns="91440" bIns="45720" anchor="t" anchorCtr="0" upright="1">
                              <a:noAutofit/>
                            </wps:bodyPr>
                          </wps:wsp>
                        </a:graphicData>
                      </a:graphic>
                    </wp:anchor>
                  </w:drawing>
                </mc:Choice>
                <mc:Fallback>
                  <w:pict>
                    <v:rect id="文本框 1" o:spid="_x0000_s1026" o:spt="1" style="position:absolute;left:0pt;margin-left:278pt;margin-top:27.1pt;height:0pt;width:0pt;visibility:hidden;z-index:251659264;mso-width-relative:page;mso-height-relative:page;" fillcolor="#FFFFFF" filled="t" stroked="t" coordsize="21600,21600" o:gfxdata="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4q8wG0wAAAAkBAAAPAAAAAAAAAAEAIAAAACIAAABk&#10;cnMvZG93bnJldi54bWxQSwECFAAUAAAACACHTuJAt3zcZkQCAAC3BAAADgAAAAAAAAABACAAAAAi&#10;AQAAZHJzL2Uyb0RvYy54bWxQSwUGAAAAAAYABgBZAQAA2AUAAAAA&#10;">
                      <v:fill on="t" opacity="0f" focussize="0,0"/>
                      <v:stroke color="#000000" opacity="0f" miterlimit="8" joinstyle="miter"/>
                      <v:imagedata o:title=""/>
                      <o:lock v:ext="edit" aspectratio="f"/>
                      <v:textbox>
                        <w:txbxContent>
                          <w:p w14:paraId="06635D3D">
                            <w:r>
                              <w:t>E6636BC20180234D78A0072836F0BE5092B9B2041A07DB50A0D98435B1EB2B095B41B23841CD7B0022992A0838460DEB3F19218AC1D0EB411BBFC2047B5E1FD324DC61ADFA22E44734F02E07635F48BF7FB4EEC875F94222480C819E3E710C38D9E620930E3</w:t>
                            </w:r>
                          </w:p>
                        </w:txbxContent>
                      </v:textbox>
                    </v:rect>
                  </w:pict>
                </mc:Fallback>
              </mc:AlternateContent>
            </w:r>
          </w:p>
          <w:p w14:paraId="6CB0933E">
            <w:pPr>
              <w:tabs>
                <w:tab w:val="left" w:pos="1540"/>
                <w:tab w:val="center" w:pos="4822"/>
              </w:tabs>
              <w:spacing w:line="360" w:lineRule="auto"/>
              <w:jc w:val="center"/>
              <w:rPr>
                <w:rFonts w:ascii="微软雅黑" w:hAnsi="微软雅黑" w:eastAsia="微软雅黑" w:cs="微软雅黑"/>
                <w:sz w:val="48"/>
                <w:szCs w:val="48"/>
              </w:rPr>
            </w:pPr>
            <w:r>
              <w:rPr>
                <w:rFonts w:hint="eastAsia" w:ascii="微软雅黑" w:hAnsi="微软雅黑" w:eastAsia="微软雅黑" w:cs="微软雅黑"/>
                <w:sz w:val="48"/>
                <w:szCs w:val="48"/>
              </w:rPr>
              <w:t>天津市新天钢冷轧薄板有限公司</w:t>
            </w:r>
          </w:p>
          <w:p w14:paraId="4D0DB04E">
            <w:pPr>
              <w:tabs>
                <w:tab w:val="left" w:pos="1540"/>
                <w:tab w:val="center" w:pos="4822"/>
              </w:tabs>
              <w:spacing w:line="360" w:lineRule="auto"/>
              <w:jc w:val="center"/>
              <w:rPr>
                <w:rFonts w:ascii="微软雅黑" w:hAnsi="微软雅黑" w:eastAsia="微软雅黑" w:cs="微软雅黑"/>
                <w:sz w:val="22"/>
                <w:szCs w:val="22"/>
              </w:rPr>
            </w:pPr>
            <w:r>
              <w:rPr>
                <w:rFonts w:hint="eastAsia" w:ascii="微软雅黑" w:hAnsi="微软雅黑" w:eastAsia="微软雅黑" w:cs="微软雅黑"/>
                <w:sz w:val="48"/>
                <w:szCs w:val="48"/>
              </w:rPr>
              <w:t>2</w:t>
            </w:r>
            <w:r>
              <w:rPr>
                <w:rFonts w:ascii="微软雅黑" w:hAnsi="微软雅黑" w:eastAsia="微软雅黑" w:cs="微软雅黑"/>
                <w:sz w:val="48"/>
                <w:szCs w:val="48"/>
              </w:rPr>
              <w:t>025-2026</w:t>
            </w:r>
            <w:r>
              <w:rPr>
                <w:rFonts w:hint="eastAsia" w:ascii="微软雅黑" w:hAnsi="微软雅黑" w:eastAsia="微软雅黑" w:cs="微软雅黑"/>
                <w:sz w:val="48"/>
                <w:szCs w:val="48"/>
              </w:rPr>
              <w:t>运维服务项目</w:t>
            </w:r>
          </w:p>
        </w:tc>
      </w:tr>
      <w:tr w14:paraId="2CA67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0" w:type="dxa"/>
          </w:tblCellMar>
        </w:tblPrEx>
        <w:trPr>
          <w:trHeight w:val="1134" w:hRule="atLeast"/>
          <w:jc w:val="right"/>
        </w:trPr>
        <w:tc>
          <w:tcPr>
            <w:tcW w:w="8647" w:type="dxa"/>
          </w:tcPr>
          <w:p w14:paraId="01CCE629">
            <w:pPr>
              <w:spacing w:line="360" w:lineRule="auto"/>
              <w:jc w:val="center"/>
              <w:rPr>
                <w:rFonts w:ascii="微软雅黑" w:hAnsi="微软雅黑" w:eastAsia="微软雅黑" w:cs="微软雅黑"/>
                <w:sz w:val="72"/>
                <w:szCs w:val="72"/>
              </w:rPr>
            </w:pPr>
            <w:r>
              <w:rPr>
                <w:rFonts w:hint="eastAsia" w:ascii="微软雅黑" w:hAnsi="微软雅黑" w:eastAsia="微软雅黑" w:cs="微软雅黑"/>
                <w:sz w:val="48"/>
                <w:szCs w:val="48"/>
              </w:rPr>
              <w:t>工作说明书</w:t>
            </w:r>
          </w:p>
        </w:tc>
      </w:tr>
      <w:tr w14:paraId="61E65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0" w:type="dxa"/>
          </w:tblCellMar>
        </w:tblPrEx>
        <w:trPr>
          <w:trHeight w:val="1134" w:hRule="atLeast"/>
          <w:jc w:val="right"/>
        </w:trPr>
        <w:tc>
          <w:tcPr>
            <w:tcW w:w="8647" w:type="dxa"/>
          </w:tcPr>
          <w:p w14:paraId="0924BFFF">
            <w:pPr>
              <w:spacing w:line="360" w:lineRule="auto"/>
              <w:jc w:val="center"/>
              <w:rPr>
                <w:rFonts w:ascii="微软雅黑" w:hAnsi="微软雅黑" w:eastAsia="微软雅黑" w:cs="微软雅黑"/>
                <w:sz w:val="72"/>
                <w:szCs w:val="72"/>
              </w:rPr>
            </w:pPr>
          </w:p>
        </w:tc>
      </w:tr>
      <w:tr w14:paraId="4E267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0" w:type="dxa"/>
          </w:tblCellMar>
        </w:tblPrEx>
        <w:trPr>
          <w:trHeight w:val="1083" w:hRule="atLeast"/>
          <w:jc w:val="right"/>
        </w:trPr>
        <w:tc>
          <w:tcPr>
            <w:tcW w:w="8647" w:type="dxa"/>
          </w:tcPr>
          <w:p w14:paraId="5C2337F4">
            <w:pPr>
              <w:spacing w:line="360" w:lineRule="auto"/>
              <w:jc w:val="center"/>
              <w:rPr>
                <w:rFonts w:ascii="微软雅黑" w:hAnsi="微软雅黑" w:eastAsia="微软雅黑" w:cs="微软雅黑"/>
                <w:sz w:val="48"/>
                <w:szCs w:val="48"/>
              </w:rPr>
            </w:pPr>
          </w:p>
        </w:tc>
      </w:tr>
      <w:tr w14:paraId="5A166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0" w:type="dxa"/>
          </w:tblCellMar>
        </w:tblPrEx>
        <w:trPr>
          <w:trHeight w:val="567" w:hRule="atLeast"/>
          <w:jc w:val="right"/>
        </w:trPr>
        <w:tc>
          <w:tcPr>
            <w:tcW w:w="8647" w:type="dxa"/>
          </w:tcPr>
          <w:p w14:paraId="35C1A6CF">
            <w:pPr>
              <w:spacing w:line="360" w:lineRule="auto"/>
              <w:rPr>
                <w:rFonts w:ascii="微软雅黑" w:hAnsi="微软雅黑" w:eastAsia="微软雅黑" w:cs="微软雅黑"/>
                <w:sz w:val="22"/>
                <w:szCs w:val="22"/>
              </w:rPr>
            </w:pPr>
          </w:p>
          <w:p w14:paraId="61291F79">
            <w:pPr>
              <w:spacing w:before="624" w:beforeLines="200" w:after="624" w:afterLines="200" w:line="360" w:lineRule="auto"/>
              <w:jc w:val="center"/>
              <w:rPr>
                <w:rFonts w:ascii="微软雅黑" w:hAnsi="微软雅黑" w:eastAsia="微软雅黑" w:cs="微软雅黑"/>
                <w:sz w:val="44"/>
                <w:szCs w:val="22"/>
              </w:rPr>
            </w:pPr>
            <w:bookmarkStart w:id="19" w:name="_GoBack"/>
            <w:bookmarkEnd w:id="19"/>
          </w:p>
          <w:p w14:paraId="01A961B7">
            <w:pPr>
              <w:spacing w:before="624" w:beforeLines="200" w:after="624" w:afterLines="200" w:line="360" w:lineRule="auto"/>
              <w:ind w:firstLine="660" w:firstLineChars="300"/>
              <w:jc w:val="left"/>
              <w:rPr>
                <w:rFonts w:ascii="微软雅黑" w:hAnsi="微软雅黑" w:eastAsia="微软雅黑" w:cs="微软雅黑"/>
                <w:sz w:val="22"/>
                <w:szCs w:val="22"/>
              </w:rPr>
            </w:pPr>
          </w:p>
        </w:tc>
      </w:tr>
      <w:tr w14:paraId="6A98D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0" w:type="dxa"/>
          </w:tblCellMar>
        </w:tblPrEx>
        <w:trPr>
          <w:trHeight w:val="459" w:hRule="atLeast"/>
          <w:jc w:val="right"/>
        </w:trPr>
        <w:tc>
          <w:tcPr>
            <w:tcW w:w="8647" w:type="dxa"/>
          </w:tcPr>
          <w:p w14:paraId="29743819">
            <w:pPr>
              <w:spacing w:line="360" w:lineRule="auto"/>
              <w:ind w:left="1313" w:leftChars="625"/>
              <w:jc w:val="left"/>
              <w:rPr>
                <w:rFonts w:ascii="微软雅黑" w:hAnsi="微软雅黑" w:eastAsia="微软雅黑" w:cs="微软雅黑"/>
                <w:sz w:val="32"/>
                <w:szCs w:val="22"/>
              </w:rPr>
            </w:pPr>
          </w:p>
        </w:tc>
      </w:tr>
      <w:tr w14:paraId="5E0BF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0" w:type="dxa"/>
          </w:tblCellMar>
        </w:tblPrEx>
        <w:trPr>
          <w:trHeight w:val="1134" w:hRule="atLeast"/>
          <w:jc w:val="right"/>
        </w:trPr>
        <w:tc>
          <w:tcPr>
            <w:tcW w:w="8647" w:type="dxa"/>
          </w:tcPr>
          <w:p w14:paraId="05C47D6A">
            <w:pPr>
              <w:spacing w:line="360" w:lineRule="auto"/>
              <w:jc w:val="center"/>
              <w:rPr>
                <w:rFonts w:ascii="微软雅黑" w:hAnsi="微软雅黑" w:eastAsia="微软雅黑" w:cs="微软雅黑"/>
                <w:sz w:val="32"/>
                <w:szCs w:val="22"/>
              </w:rPr>
            </w:pPr>
            <w:r>
              <w:rPr>
                <w:rFonts w:hint="eastAsia" w:ascii="微软雅黑" w:hAnsi="微软雅黑" w:eastAsia="微软雅黑" w:cs="微软雅黑"/>
                <w:sz w:val="32"/>
                <w:szCs w:val="22"/>
              </w:rPr>
              <w:t>【202</w:t>
            </w:r>
            <w:r>
              <w:rPr>
                <w:rFonts w:ascii="微软雅黑" w:hAnsi="微软雅黑" w:eastAsia="微软雅黑" w:cs="微软雅黑"/>
                <w:sz w:val="32"/>
                <w:szCs w:val="22"/>
              </w:rPr>
              <w:t>5</w:t>
            </w:r>
            <w:r>
              <w:rPr>
                <w:rFonts w:hint="eastAsia" w:ascii="微软雅黑" w:hAnsi="微软雅黑" w:eastAsia="微软雅黑" w:cs="微软雅黑"/>
                <w:sz w:val="32"/>
                <w:szCs w:val="22"/>
              </w:rPr>
              <w:t>】年【</w:t>
            </w:r>
            <w:r>
              <w:rPr>
                <w:rFonts w:ascii="微软雅黑" w:hAnsi="微软雅黑" w:eastAsia="微软雅黑" w:cs="微软雅黑"/>
                <w:sz w:val="32"/>
                <w:szCs w:val="22"/>
              </w:rPr>
              <w:t>6</w:t>
            </w:r>
            <w:r>
              <w:rPr>
                <w:rFonts w:hint="eastAsia" w:ascii="微软雅黑" w:hAnsi="微软雅黑" w:eastAsia="微软雅黑" w:cs="微软雅黑"/>
                <w:sz w:val="32"/>
                <w:szCs w:val="22"/>
              </w:rPr>
              <w:t>】月</w:t>
            </w:r>
          </w:p>
        </w:tc>
      </w:tr>
    </w:tbl>
    <w:p w14:paraId="50F1BD3A">
      <w:pPr>
        <w:pStyle w:val="20"/>
        <w:spacing w:line="360" w:lineRule="auto"/>
        <w:ind w:firstLineChars="0"/>
        <w:rPr>
          <w:rFonts w:ascii="宋体" w:hAnsi="宋体"/>
          <w:b/>
          <w:bCs/>
          <w:szCs w:val="21"/>
        </w:rPr>
      </w:pPr>
      <w:bookmarkStart w:id="0" w:name="_Toc19419002"/>
    </w:p>
    <w:p w14:paraId="2DAFE500">
      <w:pPr>
        <w:pStyle w:val="20"/>
        <w:spacing w:line="360" w:lineRule="auto"/>
        <w:ind w:firstLineChars="0"/>
        <w:rPr>
          <w:rFonts w:ascii="宋体" w:hAnsi="宋体"/>
          <w:b/>
          <w:bCs/>
          <w:szCs w:val="21"/>
        </w:rPr>
      </w:pPr>
    </w:p>
    <w:sdt>
      <w:sdtPr>
        <w:rPr>
          <w:rFonts w:ascii="Times New Roman" w:hAnsi="Times New Roman" w:eastAsia="宋体" w:cs="Times New Roman"/>
          <w:color w:val="auto"/>
          <w:kern w:val="2"/>
          <w:sz w:val="21"/>
          <w:szCs w:val="24"/>
          <w:lang w:val="zh-CN"/>
        </w:rPr>
        <w:id w:val="-1240481759"/>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14:paraId="367033EC">
          <w:pPr>
            <w:pStyle w:val="27"/>
            <w:spacing w:line="480" w:lineRule="auto"/>
          </w:pPr>
          <w:r>
            <w:rPr>
              <w:lang w:val="zh-CN"/>
            </w:rPr>
            <w:t>目录</w:t>
          </w:r>
        </w:p>
        <w:p w14:paraId="3935C6AC">
          <w:pPr>
            <w:pStyle w:val="8"/>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"_Toc200719625" </w:instrText>
          </w:r>
          <w:r>
            <w:fldChar w:fldCharType="separate"/>
          </w:r>
          <w:r>
            <w:rPr>
              <w:rStyle w:val="14"/>
            </w:rPr>
            <w:t>1． 运维支持</w:t>
          </w:r>
          <w:r>
            <w:tab/>
          </w:r>
          <w:r>
            <w:fldChar w:fldCharType="begin"/>
          </w:r>
          <w:r>
            <w:instrText xml:space="preserve"> PAGEREF _Toc200719625 \h </w:instrText>
          </w:r>
          <w:r>
            <w:fldChar w:fldCharType="separate"/>
          </w:r>
          <w:r>
            <w:t>3</w:t>
          </w:r>
          <w:r>
            <w:fldChar w:fldCharType="end"/>
          </w:r>
          <w:r>
            <w:fldChar w:fldCharType="end"/>
          </w:r>
        </w:p>
        <w:p w14:paraId="5F139969">
          <w:pPr>
            <w:pStyle w:val="8"/>
            <w:rPr>
              <w:rFonts w:asciiTheme="minorHAnsi" w:hAnsiTheme="minorHAnsi" w:eastAsiaTheme="minorEastAsia" w:cstheme="minorBidi"/>
              <w:szCs w:val="22"/>
            </w:rPr>
          </w:pPr>
          <w:r>
            <w:fldChar w:fldCharType="begin"/>
          </w:r>
          <w:r>
            <w:instrText xml:space="preserve"> HYPERLINK \l "_Toc200719626" </w:instrText>
          </w:r>
          <w:r>
            <w:fldChar w:fldCharType="separate"/>
          </w:r>
          <w:r>
            <w:rPr>
              <w:rStyle w:val="14"/>
            </w:rPr>
            <w:t>2． 软件、硬件服务内容</w:t>
          </w:r>
          <w:r>
            <w:tab/>
          </w:r>
          <w:r>
            <w:fldChar w:fldCharType="begin"/>
          </w:r>
          <w:r>
            <w:instrText xml:space="preserve"> PAGEREF _Toc200719626 \h </w:instrText>
          </w:r>
          <w:r>
            <w:fldChar w:fldCharType="separate"/>
          </w:r>
          <w:r>
            <w:t>4</w:t>
          </w:r>
          <w:r>
            <w:fldChar w:fldCharType="end"/>
          </w:r>
          <w:r>
            <w:fldChar w:fldCharType="end"/>
          </w:r>
        </w:p>
        <w:p w14:paraId="0DF144B0">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"_Toc200719627" </w:instrText>
          </w:r>
          <w:r>
            <w:fldChar w:fldCharType="separate"/>
          </w:r>
          <w:r>
            <w:rPr>
              <w:rStyle w:val="14"/>
            </w:rPr>
            <w:t>2.1． 超融合、虚拟化管理软件</w:t>
          </w:r>
          <w:r>
            <w:tab/>
          </w:r>
          <w:r>
            <w:fldChar w:fldCharType="begin"/>
          </w:r>
          <w:r>
            <w:instrText xml:space="preserve"> PAGEREF _Toc200719627 \h </w:instrText>
          </w:r>
          <w:r>
            <w:fldChar w:fldCharType="separate"/>
          </w:r>
          <w:r>
            <w:t>4</w:t>
          </w:r>
          <w:r>
            <w:fldChar w:fldCharType="end"/>
          </w:r>
          <w:r>
            <w:fldChar w:fldCharType="end"/>
          </w:r>
        </w:p>
        <w:p w14:paraId="7BE4CADB">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"_Toc200719628" </w:instrText>
          </w:r>
          <w:r>
            <w:fldChar w:fldCharType="separate"/>
          </w:r>
          <w:r>
            <w:rPr>
              <w:rStyle w:val="14"/>
            </w:rPr>
            <w:t>2.2． 大数据服务器</w:t>
          </w:r>
          <w:r>
            <w:tab/>
          </w:r>
          <w:r>
            <w:fldChar w:fldCharType="begin"/>
          </w:r>
          <w:r>
            <w:instrText xml:space="preserve"> PAGEREF _Toc200719628 \h </w:instrText>
          </w:r>
          <w:r>
            <w:fldChar w:fldCharType="separate"/>
          </w:r>
          <w:r>
            <w:t>5</w:t>
          </w:r>
          <w:r>
            <w:fldChar w:fldCharType="end"/>
          </w:r>
          <w:r>
            <w:fldChar w:fldCharType="end"/>
          </w:r>
        </w:p>
        <w:p w14:paraId="1347393C">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"_Toc200719629" </w:instrText>
          </w:r>
          <w:r>
            <w:fldChar w:fldCharType="separate"/>
          </w:r>
          <w:r>
            <w:rPr>
              <w:rStyle w:val="14"/>
            </w:rPr>
            <w:t>2.3． 超融合服务器</w:t>
          </w:r>
          <w:r>
            <w:tab/>
          </w:r>
          <w:r>
            <w:fldChar w:fldCharType="begin"/>
          </w:r>
          <w:r>
            <w:instrText xml:space="preserve"> PAGEREF _Toc200719629 \h </w:instrText>
          </w:r>
          <w:r>
            <w:fldChar w:fldCharType="separate"/>
          </w:r>
          <w:r>
            <w:t>5</w:t>
          </w:r>
          <w:r>
            <w:fldChar w:fldCharType="end"/>
          </w:r>
          <w:r>
            <w:fldChar w:fldCharType="end"/>
          </w:r>
        </w:p>
        <w:p w14:paraId="2E6B6813">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"_Toc200719630" </w:instrText>
          </w:r>
          <w:r>
            <w:fldChar w:fldCharType="separate"/>
          </w:r>
          <w:r>
            <w:rPr>
              <w:rStyle w:val="14"/>
            </w:rPr>
            <w:t>2.4． 超融合存储交换机</w:t>
          </w:r>
          <w:r>
            <w:tab/>
          </w:r>
          <w:r>
            <w:fldChar w:fldCharType="begin"/>
          </w:r>
          <w:r>
            <w:instrText xml:space="preserve"> PAGEREF _Toc200719630 \h </w:instrText>
          </w:r>
          <w:r>
            <w:fldChar w:fldCharType="separate"/>
          </w:r>
          <w:r>
            <w:t>5</w:t>
          </w:r>
          <w:r>
            <w:fldChar w:fldCharType="end"/>
          </w:r>
          <w:r>
            <w:fldChar w:fldCharType="end"/>
          </w:r>
        </w:p>
        <w:p w14:paraId="698459FF">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"_Toc200719631" </w:instrText>
          </w:r>
          <w:r>
            <w:fldChar w:fldCharType="separate"/>
          </w:r>
          <w:r>
            <w:rPr>
              <w:rStyle w:val="14"/>
            </w:rPr>
            <w:t>2.5． 业务软件</w:t>
          </w:r>
          <w:r>
            <w:tab/>
          </w:r>
          <w:r>
            <w:fldChar w:fldCharType="begin"/>
          </w:r>
          <w:r>
            <w:instrText xml:space="preserve"> PAGEREF _Toc200719631 \h </w:instrText>
          </w:r>
          <w:r>
            <w:fldChar w:fldCharType="separate"/>
          </w:r>
          <w:r>
            <w:t>6</w:t>
          </w:r>
          <w:r>
            <w:fldChar w:fldCharType="end"/>
          </w:r>
          <w:r>
            <w:fldChar w:fldCharType="end"/>
          </w:r>
        </w:p>
        <w:p w14:paraId="157D7537">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"_Toc200719632" </w:instrText>
          </w:r>
          <w:r>
            <w:fldChar w:fldCharType="separate"/>
          </w:r>
          <w:r>
            <w:rPr>
              <w:rStyle w:val="14"/>
            </w:rPr>
            <w:t>2.6． 英方备份数据库</w:t>
          </w:r>
          <w:r>
            <w:tab/>
          </w:r>
          <w:r>
            <w:fldChar w:fldCharType="begin"/>
          </w:r>
          <w:r>
            <w:instrText xml:space="preserve"> PAGEREF _Toc200719632 \h </w:instrText>
          </w:r>
          <w:r>
            <w:fldChar w:fldCharType="separate"/>
          </w:r>
          <w:r>
            <w:t>6</w:t>
          </w:r>
          <w:r>
            <w:fldChar w:fldCharType="end"/>
          </w:r>
          <w:r>
            <w:fldChar w:fldCharType="end"/>
          </w:r>
        </w:p>
        <w:p w14:paraId="09066FD6">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"_Toc200719633" </w:instrText>
          </w:r>
          <w:r>
            <w:fldChar w:fldCharType="separate"/>
          </w:r>
          <w:r>
            <w:rPr>
              <w:rStyle w:val="14"/>
            </w:rPr>
            <w:t>2.7． 联想AIO</w:t>
          </w:r>
          <w:r>
            <w:tab/>
          </w:r>
          <w:r>
            <w:fldChar w:fldCharType="begin"/>
          </w:r>
          <w:r>
            <w:instrText xml:space="preserve"> PAGEREF _Toc200719633 \h </w:instrText>
          </w:r>
          <w:r>
            <w:fldChar w:fldCharType="separate"/>
          </w:r>
          <w:r>
            <w:t>6</w:t>
          </w:r>
          <w:r>
            <w:fldChar w:fldCharType="end"/>
          </w:r>
          <w:r>
            <w:fldChar w:fldCharType="end"/>
          </w:r>
        </w:p>
        <w:p w14:paraId="56FD28B3">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"_Toc200719634" </w:instrText>
          </w:r>
          <w:r>
            <w:fldChar w:fldCharType="separate"/>
          </w:r>
          <w:r>
            <w:rPr>
              <w:rStyle w:val="14"/>
            </w:rPr>
            <w:t>2.8． 大华智慧监控平台</w:t>
          </w:r>
          <w:r>
            <w:tab/>
          </w:r>
          <w:r>
            <w:fldChar w:fldCharType="begin"/>
          </w:r>
          <w:r>
            <w:instrText xml:space="preserve"> PAGEREF _Toc200719634 \h </w:instrText>
          </w:r>
          <w:r>
            <w:fldChar w:fldCharType="separate"/>
          </w:r>
          <w:r>
            <w:t>7</w:t>
          </w:r>
          <w:r>
            <w:fldChar w:fldCharType="end"/>
          </w:r>
          <w:r>
            <w:fldChar w:fldCharType="end"/>
          </w:r>
        </w:p>
        <w:p w14:paraId="490F5190">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"_Toc200719635" </w:instrText>
          </w:r>
          <w:r>
            <w:fldChar w:fldCharType="separate"/>
          </w:r>
          <w:r>
            <w:rPr>
              <w:rStyle w:val="14"/>
            </w:rPr>
            <w:t>2.9． 在线协同系统账号</w:t>
          </w:r>
          <w:r>
            <w:tab/>
          </w:r>
          <w:r>
            <w:fldChar w:fldCharType="begin"/>
          </w:r>
          <w:r>
            <w:instrText xml:space="preserve"> PAGEREF _Toc200719635 \h </w:instrText>
          </w:r>
          <w:r>
            <w:fldChar w:fldCharType="separate"/>
          </w:r>
          <w:r>
            <w:t>7</w:t>
          </w:r>
          <w:r>
            <w:fldChar w:fldCharType="end"/>
          </w:r>
          <w:r>
            <w:fldChar w:fldCharType="end"/>
          </w:r>
        </w:p>
        <w:p w14:paraId="6BB8E8C9">
          <w:pPr>
            <w:pStyle w:val="9"/>
            <w:tabs>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"_Toc200719636" </w:instrText>
          </w:r>
          <w:r>
            <w:fldChar w:fldCharType="separate"/>
          </w:r>
          <w:r>
            <w:rPr>
              <w:rStyle w:val="14"/>
            </w:rPr>
            <w:t>2.10.  IOT数采网关</w:t>
          </w:r>
          <w:r>
            <w:tab/>
          </w:r>
          <w:r>
            <w:fldChar w:fldCharType="begin"/>
          </w:r>
          <w:r>
            <w:instrText xml:space="preserve"> PAGEREF _Toc200719636 \h </w:instrText>
          </w:r>
          <w:r>
            <w:fldChar w:fldCharType="separate"/>
          </w:r>
          <w:r>
            <w:t>7</w:t>
          </w:r>
          <w:r>
            <w:fldChar w:fldCharType="end"/>
          </w:r>
          <w:r>
            <w:fldChar w:fldCharType="end"/>
          </w:r>
        </w:p>
        <w:p w14:paraId="2FC7614E">
          <w:pPr>
            <w:pStyle w:val="9"/>
            <w:tabs>
              <w:tab w:val="left" w:pos="1050"/>
              <w:tab w:val="right" w:leader="dot" w:pos="8296"/>
            </w:tabs>
            <w:spacing w:line="480" w:lineRule="auto"/>
            <w:rPr>
              <w:rFonts w:asciiTheme="minorHAnsi" w:hAnsiTheme="minorHAnsi" w:eastAsiaTheme="minorEastAsia" w:cstheme="minorBidi"/>
              <w:szCs w:val="22"/>
            </w:rPr>
          </w:pPr>
          <w:r>
            <w:fldChar w:fldCharType="begin"/>
          </w:r>
          <w:r>
            <w:instrText xml:space="preserve"> HYPERLINK \l "_Toc200719637" </w:instrText>
          </w:r>
          <w:r>
            <w:fldChar w:fldCharType="separate"/>
          </w:r>
          <w:r>
            <w:rPr>
              <w:rStyle w:val="14"/>
            </w:rPr>
            <w:t>2.11.</w:t>
          </w:r>
          <w:r>
            <w:rPr>
              <w:rFonts w:asciiTheme="minorHAnsi" w:hAnsiTheme="minorHAnsi" w:eastAsiaTheme="minorEastAsia" w:cstheme="minorBidi"/>
              <w:szCs w:val="22"/>
            </w:rPr>
            <w:tab/>
          </w:r>
          <w:r>
            <w:rPr>
              <w:rStyle w:val="14"/>
            </w:rPr>
            <w:t>网络安全证书</w:t>
          </w:r>
          <w:r>
            <w:tab/>
          </w:r>
          <w:r>
            <w:fldChar w:fldCharType="begin"/>
          </w:r>
          <w:r>
            <w:instrText xml:space="preserve"> PAGEREF _Toc200719637 \h </w:instrText>
          </w:r>
          <w:r>
            <w:fldChar w:fldCharType="separate"/>
          </w:r>
          <w:r>
            <w:t>7</w:t>
          </w:r>
          <w:r>
            <w:fldChar w:fldCharType="end"/>
          </w:r>
          <w:r>
            <w:fldChar w:fldCharType="end"/>
          </w:r>
        </w:p>
        <w:p w14:paraId="0EECB199">
          <w:pPr>
            <w:pStyle w:val="8"/>
            <w:rPr>
              <w:rFonts w:asciiTheme="minorHAnsi" w:hAnsiTheme="minorHAnsi" w:eastAsiaTheme="minorEastAsia" w:cstheme="minorBidi"/>
              <w:szCs w:val="22"/>
            </w:rPr>
          </w:pPr>
          <w:r>
            <w:fldChar w:fldCharType="begin"/>
          </w:r>
          <w:r>
            <w:instrText xml:space="preserve"> HYPERLINK \l "_Toc200719638" </w:instrText>
          </w:r>
          <w:r>
            <w:fldChar w:fldCharType="separate"/>
          </w:r>
          <w:r>
            <w:rPr>
              <w:rStyle w:val="14"/>
            </w:rPr>
            <w:t>3． Vlan改造</w:t>
          </w:r>
          <w:r>
            <w:tab/>
          </w:r>
          <w:r>
            <w:fldChar w:fldCharType="begin"/>
          </w:r>
          <w:r>
            <w:instrText xml:space="preserve"> PAGEREF _Toc200719638 \h </w:instrText>
          </w:r>
          <w:r>
            <w:fldChar w:fldCharType="separate"/>
          </w:r>
          <w:r>
            <w:t>7</w:t>
          </w:r>
          <w:r>
            <w:fldChar w:fldCharType="end"/>
          </w:r>
          <w:r>
            <w:fldChar w:fldCharType="end"/>
          </w:r>
        </w:p>
        <w:p w14:paraId="29660044">
          <w:pPr>
            <w:pStyle w:val="8"/>
            <w:rPr>
              <w:rFonts w:asciiTheme="minorHAnsi" w:hAnsiTheme="minorHAnsi" w:eastAsiaTheme="minorEastAsia" w:cstheme="minorBidi"/>
              <w:szCs w:val="22"/>
            </w:rPr>
          </w:pPr>
          <w:r>
            <w:fldChar w:fldCharType="begin"/>
          </w:r>
          <w:r>
            <w:instrText xml:space="preserve"> HYPERLINK \l "_Toc200719639" </w:instrText>
          </w:r>
          <w:r>
            <w:fldChar w:fldCharType="separate"/>
          </w:r>
          <w:r>
            <w:rPr>
              <w:rStyle w:val="14"/>
            </w:rPr>
            <w:t>4． 虚拟机迁移</w:t>
          </w:r>
          <w:r>
            <w:tab/>
          </w:r>
          <w:r>
            <w:fldChar w:fldCharType="begin"/>
          </w:r>
          <w:r>
            <w:instrText xml:space="preserve"> PAGEREF _Toc200719639 \h </w:instrText>
          </w:r>
          <w:r>
            <w:fldChar w:fldCharType="separate"/>
          </w:r>
          <w:r>
            <w:t>8</w:t>
          </w:r>
          <w:r>
            <w:fldChar w:fldCharType="end"/>
          </w:r>
          <w:r>
            <w:fldChar w:fldCharType="end"/>
          </w:r>
        </w:p>
        <w:p w14:paraId="492507B2">
          <w:pPr>
            <w:pStyle w:val="8"/>
            <w:rPr>
              <w:rFonts w:asciiTheme="minorHAnsi" w:hAnsiTheme="minorHAnsi" w:eastAsiaTheme="minorEastAsia" w:cstheme="minorBidi"/>
              <w:szCs w:val="22"/>
            </w:rPr>
          </w:pPr>
          <w:r>
            <w:fldChar w:fldCharType="begin"/>
          </w:r>
          <w:r>
            <w:instrText xml:space="preserve"> HYPERLINK \l "_Toc200719640" </w:instrText>
          </w:r>
          <w:r>
            <w:fldChar w:fldCharType="separate"/>
          </w:r>
          <w:r>
            <w:rPr>
              <w:rStyle w:val="14"/>
            </w:rPr>
            <w:t>5． 故障处理流程</w:t>
          </w:r>
          <w:r>
            <w:tab/>
          </w:r>
          <w:r>
            <w:fldChar w:fldCharType="begin"/>
          </w:r>
          <w:r>
            <w:instrText xml:space="preserve"> PAGEREF _Toc200719640 \h </w:instrText>
          </w:r>
          <w:r>
            <w:fldChar w:fldCharType="separate"/>
          </w:r>
          <w:r>
            <w:t>8</w:t>
          </w:r>
          <w:r>
            <w:fldChar w:fldCharType="end"/>
          </w:r>
          <w:r>
            <w:fldChar w:fldCharType="end"/>
          </w:r>
        </w:p>
        <w:p w14:paraId="2CA50D15">
          <w:pPr>
            <w:pStyle w:val="8"/>
            <w:rPr>
              <w:rFonts w:asciiTheme="minorHAnsi" w:hAnsiTheme="minorHAnsi" w:eastAsiaTheme="minorEastAsia" w:cstheme="minorBidi"/>
              <w:szCs w:val="22"/>
            </w:rPr>
          </w:pPr>
          <w:r>
            <w:fldChar w:fldCharType="begin"/>
          </w:r>
          <w:r>
            <w:instrText xml:space="preserve"> HYPERLINK \l "_Toc200719641" </w:instrText>
          </w:r>
          <w:r>
            <w:fldChar w:fldCharType="separate"/>
          </w:r>
          <w:r>
            <w:rPr>
              <w:rStyle w:val="14"/>
            </w:rPr>
            <w:t>6． 服务相关补充说明</w:t>
          </w:r>
          <w:r>
            <w:tab/>
          </w:r>
          <w:r>
            <w:fldChar w:fldCharType="begin"/>
          </w:r>
          <w:r>
            <w:instrText xml:space="preserve"> PAGEREF _Toc200719641 \h </w:instrText>
          </w:r>
          <w:r>
            <w:fldChar w:fldCharType="separate"/>
          </w:r>
          <w:r>
            <w:t>8</w:t>
          </w:r>
          <w:r>
            <w:fldChar w:fldCharType="end"/>
          </w:r>
          <w:r>
            <w:fldChar w:fldCharType="end"/>
          </w:r>
        </w:p>
        <w:p w14:paraId="52F3BB2A">
          <w:pPr>
            <w:pStyle w:val="8"/>
            <w:rPr>
              <w:rFonts w:asciiTheme="minorHAnsi" w:hAnsiTheme="minorHAnsi" w:eastAsiaTheme="minorEastAsia" w:cstheme="minorBidi"/>
              <w:szCs w:val="22"/>
            </w:rPr>
          </w:pPr>
          <w:r>
            <w:fldChar w:fldCharType="begin"/>
          </w:r>
          <w:r>
            <w:instrText xml:space="preserve"> HYPERLINK \l "_Toc200719642" </w:instrText>
          </w:r>
          <w:r>
            <w:fldChar w:fldCharType="separate"/>
          </w:r>
          <w:r>
            <w:rPr>
              <w:rStyle w:val="14"/>
            </w:rPr>
            <w:t>7． 服务免责声明</w:t>
          </w:r>
          <w:r>
            <w:tab/>
          </w:r>
          <w:r>
            <w:fldChar w:fldCharType="begin"/>
          </w:r>
          <w:r>
            <w:instrText xml:space="preserve"> PAGEREF _Toc200719642 \h </w:instrText>
          </w:r>
          <w:r>
            <w:fldChar w:fldCharType="separate"/>
          </w:r>
          <w:r>
            <w:t>9</w:t>
          </w:r>
          <w:r>
            <w:fldChar w:fldCharType="end"/>
          </w:r>
          <w:r>
            <w:fldChar w:fldCharType="end"/>
          </w:r>
        </w:p>
        <w:p w14:paraId="2C5F51FF">
          <w:pPr>
            <w:spacing w:line="480" w:lineRule="auto"/>
            <w:rPr>
              <w:b/>
              <w:bCs/>
              <w:lang w:val="zh-CN"/>
            </w:rPr>
          </w:pPr>
          <w:r>
            <w:rPr>
              <w:b/>
              <w:bCs/>
              <w:lang w:val="zh-CN"/>
            </w:rPr>
            <w:fldChar w:fldCharType="end"/>
          </w:r>
        </w:p>
        <w:p w14:paraId="2F572BA2">
          <w:pPr>
            <w:widowControl/>
            <w:jc w:val="left"/>
          </w:pPr>
          <w:r>
            <w:br w:type="page"/>
          </w:r>
        </w:p>
      </w:sdtContent>
    </w:sdt>
    <w:p w14:paraId="59886EB7">
      <w:pPr>
        <w:pStyle w:val="2"/>
      </w:pPr>
      <w:bookmarkStart w:id="1" w:name="_Toc200719625"/>
      <w:r>
        <w:t>1</w:t>
      </w:r>
      <w:r>
        <w:rPr>
          <w:rFonts w:hint="eastAsia"/>
        </w:rPr>
        <w:t>．</w:t>
      </w:r>
      <w:r>
        <w:t xml:space="preserve"> </w:t>
      </w:r>
      <w:r>
        <w:rPr>
          <w:rFonts w:hint="eastAsia"/>
        </w:rPr>
        <w:t>运维支持</w:t>
      </w:r>
      <w:bookmarkEnd w:id="1"/>
    </w:p>
    <w:tbl>
      <w:tblPr>
        <w:tblStyle w:val="11"/>
        <w:tblW w:w="8839" w:type="dxa"/>
        <w:tblInd w:w="-289" w:type="dxa"/>
        <w:tblLayout w:type="fixed"/>
        <w:tblCellMar>
          <w:top w:w="15" w:type="dxa"/>
          <w:left w:w="15" w:type="dxa"/>
          <w:bottom w:w="15" w:type="dxa"/>
          <w:right w:w="15" w:type="dxa"/>
        </w:tblCellMar>
      </w:tblPr>
      <w:tblGrid>
        <w:gridCol w:w="741"/>
        <w:gridCol w:w="1244"/>
        <w:gridCol w:w="2127"/>
        <w:gridCol w:w="2988"/>
        <w:gridCol w:w="1689"/>
        <w:gridCol w:w="50"/>
      </w:tblGrid>
      <w:tr w14:paraId="48040DD3">
        <w:tblPrEx>
          <w:tblCellMar>
            <w:top w:w="15" w:type="dxa"/>
            <w:left w:w="15" w:type="dxa"/>
            <w:bottom w:w="15" w:type="dxa"/>
            <w:right w:w="15" w:type="dxa"/>
          </w:tblCellMar>
        </w:tblPrEx>
        <w:trPr>
          <w:gridAfter w:val="1"/>
          <w:wAfter w:w="50" w:type="dxa"/>
          <w:trHeight w:val="690" w:hRule="atLeast"/>
        </w:trPr>
        <w:tc>
          <w:tcPr>
            <w:tcW w:w="741" w:type="dxa"/>
            <w:vMerge w:val="restart"/>
            <w:tcBorders>
              <w:top w:val="single" w:color="000000" w:sz="4" w:space="0"/>
              <w:left w:val="single" w:color="000000" w:sz="4" w:space="0"/>
              <w:bottom w:val="single" w:color="000000" w:sz="4" w:space="0"/>
              <w:right w:val="single" w:color="000000" w:sz="4" w:space="0"/>
            </w:tcBorders>
            <w:shd w:val="clear" w:color="auto" w:fill="DDEBF7"/>
            <w:noWrap/>
            <w:vAlign w:val="center"/>
          </w:tcPr>
          <w:p w14:paraId="4B75EC32">
            <w:pPr>
              <w:widowControl/>
              <w:jc w:val="center"/>
              <w:rPr>
                <w:rFonts w:ascii="宋体" w:hAnsi="宋体" w:cs="宋体"/>
                <w:b/>
                <w:bCs/>
                <w:color w:val="000000"/>
                <w:kern w:val="0"/>
                <w:szCs w:val="21"/>
              </w:rPr>
            </w:pPr>
            <w:r>
              <w:rPr>
                <w:rFonts w:ascii="宋体" w:hAnsi="宋体" w:cs="宋体"/>
                <w:b/>
                <w:bCs/>
                <w:color w:val="000000"/>
                <w:kern w:val="0"/>
                <w:szCs w:val="21"/>
              </w:rPr>
              <w:t>序号</w:t>
            </w:r>
          </w:p>
        </w:tc>
        <w:tc>
          <w:tcPr>
            <w:tcW w:w="1244" w:type="dxa"/>
            <w:vMerge w:val="restart"/>
            <w:tcBorders>
              <w:top w:val="single" w:color="000000" w:sz="4" w:space="0"/>
              <w:left w:val="single" w:color="000000" w:sz="4" w:space="0"/>
              <w:bottom w:val="single" w:color="000000" w:sz="4" w:space="0"/>
              <w:right w:val="single" w:color="000000" w:sz="4" w:space="0"/>
            </w:tcBorders>
            <w:shd w:val="clear" w:color="auto" w:fill="DDEBF7"/>
            <w:noWrap/>
            <w:vAlign w:val="center"/>
          </w:tcPr>
          <w:p w14:paraId="05F3083E">
            <w:pPr>
              <w:widowControl/>
              <w:jc w:val="center"/>
              <w:rPr>
                <w:rFonts w:ascii="宋体" w:hAnsi="宋体" w:cs="宋体"/>
                <w:b/>
                <w:bCs/>
                <w:color w:val="000000"/>
                <w:kern w:val="0"/>
                <w:szCs w:val="21"/>
              </w:rPr>
            </w:pPr>
            <w:r>
              <w:rPr>
                <w:rFonts w:ascii="宋体" w:hAnsi="宋体" w:cs="宋体"/>
                <w:b/>
                <w:bCs/>
                <w:color w:val="000000"/>
                <w:kern w:val="0"/>
                <w:szCs w:val="21"/>
              </w:rPr>
              <w:t>运维服务项</w:t>
            </w:r>
          </w:p>
        </w:tc>
        <w:tc>
          <w:tcPr>
            <w:tcW w:w="6804" w:type="dxa"/>
            <w:gridSpan w:val="3"/>
            <w:vMerge w:val="restart"/>
            <w:tcBorders>
              <w:top w:val="single" w:color="000000" w:sz="4" w:space="0"/>
              <w:left w:val="single" w:color="000000" w:sz="4" w:space="0"/>
              <w:bottom w:val="single" w:color="000000" w:sz="4" w:space="0"/>
              <w:right w:val="single" w:color="000000" w:sz="4" w:space="0"/>
            </w:tcBorders>
            <w:shd w:val="clear" w:color="auto" w:fill="DDEBF7"/>
            <w:noWrap/>
            <w:vAlign w:val="center"/>
          </w:tcPr>
          <w:p w14:paraId="578FF057">
            <w:pPr>
              <w:widowControl/>
              <w:jc w:val="center"/>
              <w:rPr>
                <w:rFonts w:ascii="宋体" w:hAnsi="宋体" w:cs="宋体"/>
                <w:b/>
                <w:bCs/>
                <w:color w:val="000000"/>
                <w:kern w:val="0"/>
                <w:szCs w:val="21"/>
              </w:rPr>
            </w:pPr>
            <w:r>
              <w:rPr>
                <w:rFonts w:ascii="宋体" w:hAnsi="宋体" w:cs="宋体"/>
                <w:b/>
                <w:bCs/>
                <w:color w:val="000000"/>
                <w:kern w:val="0"/>
                <w:szCs w:val="21"/>
              </w:rPr>
              <w:t>运维服务内容</w:t>
            </w:r>
          </w:p>
        </w:tc>
      </w:tr>
      <w:tr w14:paraId="7AF0138F">
        <w:tblPrEx>
          <w:tblCellMar>
            <w:top w:w="15" w:type="dxa"/>
            <w:left w:w="15" w:type="dxa"/>
            <w:bottom w:w="15" w:type="dxa"/>
            <w:right w:w="15" w:type="dxa"/>
          </w:tblCellMar>
        </w:tblPrEx>
        <w:trPr>
          <w:trHeight w:val="690" w:hRule="atLeast"/>
        </w:trPr>
        <w:tc>
          <w:tcPr>
            <w:tcW w:w="741" w:type="dxa"/>
            <w:vMerge w:val="continue"/>
            <w:tcBorders>
              <w:top w:val="single" w:color="000000" w:sz="4" w:space="0"/>
              <w:left w:val="single" w:color="000000" w:sz="4" w:space="0"/>
              <w:bottom w:val="single" w:color="000000" w:sz="4" w:space="0"/>
              <w:right w:val="single" w:color="000000" w:sz="4" w:space="0"/>
            </w:tcBorders>
            <w:vAlign w:val="center"/>
          </w:tcPr>
          <w:p w14:paraId="5E9337C9">
            <w:pPr>
              <w:widowControl/>
              <w:jc w:val="left"/>
              <w:rPr>
                <w:rFonts w:ascii="宋体" w:hAnsi="宋体" w:cs="宋体"/>
                <w:b/>
                <w:bCs/>
                <w:color w:val="000000"/>
                <w:kern w:val="0"/>
                <w:szCs w:val="21"/>
              </w:rPr>
            </w:pPr>
          </w:p>
        </w:tc>
        <w:tc>
          <w:tcPr>
            <w:tcW w:w="1244" w:type="dxa"/>
            <w:vMerge w:val="continue"/>
            <w:tcBorders>
              <w:top w:val="single" w:color="000000" w:sz="4" w:space="0"/>
              <w:left w:val="single" w:color="000000" w:sz="4" w:space="0"/>
              <w:bottom w:val="single" w:color="000000" w:sz="4" w:space="0"/>
              <w:right w:val="single" w:color="000000" w:sz="4" w:space="0"/>
            </w:tcBorders>
            <w:vAlign w:val="center"/>
          </w:tcPr>
          <w:p w14:paraId="50CFF595">
            <w:pPr>
              <w:widowControl/>
              <w:jc w:val="left"/>
              <w:rPr>
                <w:rFonts w:ascii="宋体" w:hAnsi="宋体" w:cs="宋体"/>
                <w:b/>
                <w:bCs/>
                <w:color w:val="000000"/>
                <w:kern w:val="0"/>
                <w:szCs w:val="21"/>
              </w:rPr>
            </w:pPr>
          </w:p>
        </w:tc>
        <w:tc>
          <w:tcPr>
            <w:tcW w:w="6804"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50D2D9E">
            <w:pPr>
              <w:widowControl/>
              <w:jc w:val="left"/>
              <w:rPr>
                <w:rFonts w:ascii="宋体" w:hAnsi="宋体" w:cs="宋体"/>
                <w:b/>
                <w:bCs/>
                <w:color w:val="000000"/>
                <w:kern w:val="0"/>
                <w:szCs w:val="21"/>
              </w:rPr>
            </w:pPr>
          </w:p>
        </w:tc>
        <w:tc>
          <w:tcPr>
            <w:tcW w:w="50" w:type="dxa"/>
            <w:noWrap/>
            <w:vAlign w:val="center"/>
          </w:tcPr>
          <w:p w14:paraId="759BF417">
            <w:pPr>
              <w:widowControl/>
              <w:jc w:val="center"/>
              <w:rPr>
                <w:rFonts w:ascii="宋体" w:hAnsi="宋体" w:cs="宋体"/>
                <w:b/>
                <w:bCs/>
                <w:color w:val="000000"/>
                <w:kern w:val="0"/>
                <w:szCs w:val="21"/>
              </w:rPr>
            </w:pPr>
          </w:p>
        </w:tc>
      </w:tr>
      <w:tr w14:paraId="5C56A5B3">
        <w:tblPrEx>
          <w:tblCellMar>
            <w:top w:w="15" w:type="dxa"/>
            <w:left w:w="15" w:type="dxa"/>
            <w:bottom w:w="15" w:type="dxa"/>
            <w:right w:w="15" w:type="dxa"/>
          </w:tblCellMar>
        </w:tblPrEx>
        <w:trPr>
          <w:trHeight w:val="1110" w:hRule="atLeast"/>
        </w:trPr>
        <w:tc>
          <w:tcPr>
            <w:tcW w:w="741" w:type="dxa"/>
            <w:tcBorders>
              <w:left w:val="single" w:color="000000" w:sz="4" w:space="0"/>
              <w:bottom w:val="single" w:color="000000" w:sz="4" w:space="0"/>
              <w:right w:val="single" w:color="000000" w:sz="4" w:space="0"/>
            </w:tcBorders>
            <w:noWrap/>
            <w:vAlign w:val="center"/>
          </w:tcPr>
          <w:p w14:paraId="672B42DE">
            <w:pPr>
              <w:widowControl/>
              <w:jc w:val="center"/>
              <w:rPr>
                <w:rFonts w:ascii="宋体" w:hAnsi="宋体" w:cs="宋体"/>
                <w:color w:val="000000"/>
                <w:kern w:val="0"/>
                <w:szCs w:val="21"/>
              </w:rPr>
            </w:pPr>
            <w:r>
              <w:rPr>
                <w:rFonts w:ascii="宋体" w:hAnsi="宋体" w:cs="宋体"/>
                <w:color w:val="000000"/>
                <w:kern w:val="0"/>
                <w:szCs w:val="21"/>
              </w:rPr>
              <w:t>1</w:t>
            </w:r>
          </w:p>
        </w:tc>
        <w:tc>
          <w:tcPr>
            <w:tcW w:w="1244" w:type="dxa"/>
            <w:tcBorders>
              <w:bottom w:val="single" w:color="000000" w:sz="4" w:space="0"/>
              <w:right w:val="single" w:color="000000" w:sz="4" w:space="0"/>
            </w:tcBorders>
            <w:noWrap/>
            <w:vAlign w:val="center"/>
          </w:tcPr>
          <w:p w14:paraId="01B12A79">
            <w:pPr>
              <w:widowControl/>
              <w:jc w:val="center"/>
              <w:rPr>
                <w:rFonts w:ascii="宋体" w:hAnsi="宋体" w:cs="宋体"/>
                <w:color w:val="000000"/>
                <w:kern w:val="0"/>
                <w:szCs w:val="21"/>
              </w:rPr>
            </w:pPr>
            <w:r>
              <w:rPr>
                <w:rFonts w:ascii="宋体" w:hAnsi="宋体" w:cs="宋体"/>
                <w:color w:val="000000"/>
                <w:kern w:val="0"/>
                <w:szCs w:val="21"/>
              </w:rPr>
              <w:t>热线反馈与技术支持服务</w:t>
            </w:r>
          </w:p>
        </w:tc>
        <w:tc>
          <w:tcPr>
            <w:tcW w:w="6804" w:type="dxa"/>
            <w:gridSpan w:val="3"/>
            <w:tcBorders>
              <w:top w:val="single" w:color="000000" w:sz="4" w:space="0"/>
              <w:bottom w:val="single" w:color="000000" w:sz="4" w:space="0"/>
              <w:right w:val="single" w:color="000000" w:sz="4" w:space="0"/>
            </w:tcBorders>
            <w:vAlign w:val="center"/>
          </w:tcPr>
          <w:p w14:paraId="04B7260C">
            <w:pPr>
              <w:widowControl/>
              <w:jc w:val="left"/>
              <w:rPr>
                <w:rFonts w:ascii="宋体" w:hAnsi="宋体" w:cs="宋体"/>
                <w:color w:val="000000"/>
                <w:kern w:val="0"/>
                <w:szCs w:val="21"/>
              </w:rPr>
            </w:pPr>
            <w:r>
              <w:rPr>
                <w:rFonts w:ascii="Helvetica Neue" w:hAnsi="Helvetica Neue" w:cs="宋体"/>
                <w:color w:val="000000"/>
                <w:kern w:val="0"/>
                <w:szCs w:val="21"/>
              </w:rPr>
              <w:t>解决系统功能、业务操作方面的疑难，提</w:t>
            </w:r>
            <w:r>
              <w:rPr>
                <w:rFonts w:ascii="Helvetica Neue" w:hAnsi="Helvetica Neue" w:cs="宋体"/>
                <w:kern w:val="0"/>
                <w:szCs w:val="21"/>
              </w:rPr>
              <w:t>供5*10小时热</w:t>
            </w:r>
            <w:r>
              <w:rPr>
                <w:rFonts w:ascii="Helvetica Neue" w:hAnsi="Helvetica Neue" w:cs="宋体"/>
                <w:color w:val="000000"/>
                <w:kern w:val="0"/>
                <w:szCs w:val="21"/>
              </w:rPr>
              <w:t>线与远程支持（09:00~19:00）。</w:t>
            </w:r>
          </w:p>
        </w:tc>
        <w:tc>
          <w:tcPr>
            <w:tcW w:w="50" w:type="dxa"/>
            <w:vAlign w:val="center"/>
          </w:tcPr>
          <w:p w14:paraId="013B55C9">
            <w:pPr>
              <w:widowControl/>
              <w:jc w:val="left"/>
              <w:rPr>
                <w:rFonts w:eastAsia="Times New Roman"/>
                <w:kern w:val="0"/>
                <w:szCs w:val="21"/>
              </w:rPr>
            </w:pPr>
          </w:p>
        </w:tc>
      </w:tr>
      <w:tr w14:paraId="5EB157A5">
        <w:tblPrEx>
          <w:tblCellMar>
            <w:top w:w="15" w:type="dxa"/>
            <w:left w:w="15" w:type="dxa"/>
            <w:bottom w:w="15" w:type="dxa"/>
            <w:right w:w="15" w:type="dxa"/>
          </w:tblCellMar>
        </w:tblPrEx>
        <w:trPr>
          <w:trHeight w:val="1905" w:hRule="atLeast"/>
        </w:trPr>
        <w:tc>
          <w:tcPr>
            <w:tcW w:w="741" w:type="dxa"/>
            <w:tcBorders>
              <w:left w:val="single" w:color="000000" w:sz="4" w:space="0"/>
              <w:bottom w:val="single" w:color="000000" w:sz="4" w:space="0"/>
              <w:right w:val="single" w:color="000000" w:sz="4" w:space="0"/>
            </w:tcBorders>
            <w:noWrap/>
            <w:vAlign w:val="center"/>
          </w:tcPr>
          <w:p w14:paraId="031F9CA0">
            <w:pPr>
              <w:widowControl/>
              <w:jc w:val="center"/>
              <w:rPr>
                <w:rFonts w:ascii="宋体" w:hAnsi="宋体" w:cs="宋体"/>
                <w:color w:val="000000"/>
                <w:kern w:val="0"/>
                <w:szCs w:val="21"/>
              </w:rPr>
            </w:pPr>
            <w:r>
              <w:rPr>
                <w:rFonts w:ascii="宋体" w:hAnsi="宋体" w:cs="宋体"/>
                <w:color w:val="000000"/>
                <w:kern w:val="0"/>
                <w:szCs w:val="21"/>
              </w:rPr>
              <w:t>2</w:t>
            </w:r>
          </w:p>
        </w:tc>
        <w:tc>
          <w:tcPr>
            <w:tcW w:w="1244" w:type="dxa"/>
            <w:tcBorders>
              <w:bottom w:val="single" w:color="000000" w:sz="4" w:space="0"/>
              <w:right w:val="single" w:color="000000" w:sz="4" w:space="0"/>
            </w:tcBorders>
            <w:noWrap/>
            <w:vAlign w:val="center"/>
          </w:tcPr>
          <w:p w14:paraId="6EC860F1">
            <w:pPr>
              <w:widowControl/>
              <w:jc w:val="center"/>
              <w:rPr>
                <w:rFonts w:ascii="宋体" w:hAnsi="宋体" w:cs="宋体"/>
                <w:color w:val="000000"/>
                <w:kern w:val="0"/>
                <w:szCs w:val="21"/>
              </w:rPr>
            </w:pPr>
            <w:r>
              <w:rPr>
                <w:rFonts w:ascii="宋体" w:hAnsi="宋体" w:cs="宋体"/>
                <w:color w:val="000000"/>
                <w:kern w:val="0"/>
                <w:szCs w:val="21"/>
              </w:rPr>
              <w:t>系统修复与更新服务</w:t>
            </w:r>
          </w:p>
        </w:tc>
        <w:tc>
          <w:tcPr>
            <w:tcW w:w="6804" w:type="dxa"/>
            <w:gridSpan w:val="3"/>
            <w:tcBorders>
              <w:top w:val="single" w:color="000000" w:sz="4" w:space="0"/>
              <w:bottom w:val="single" w:color="000000" w:sz="4" w:space="0"/>
              <w:right w:val="single" w:color="000000" w:sz="4" w:space="0"/>
            </w:tcBorders>
            <w:vAlign w:val="center"/>
          </w:tcPr>
          <w:p w14:paraId="183BEDF3">
            <w:pPr>
              <w:widowControl/>
              <w:ind w:right="-252" w:rightChars="-120"/>
              <w:jc w:val="left"/>
              <w:rPr>
                <w:rFonts w:ascii="宋体" w:hAnsi="宋体" w:cs="宋体"/>
                <w:color w:val="000000"/>
                <w:kern w:val="0"/>
                <w:szCs w:val="21"/>
              </w:rPr>
            </w:pPr>
            <w:r>
              <w:rPr>
                <w:rFonts w:ascii="Helvetica Neue" w:hAnsi="Helvetica Neue" w:cs="宋体"/>
                <w:color w:val="000000"/>
                <w:kern w:val="0"/>
                <w:szCs w:val="21"/>
              </w:rPr>
              <w:t>通过远程式方式提供：更新软件补丁、系统修复、系统配置优化等服务。</w:t>
            </w:r>
            <w:r>
              <w:rPr>
                <w:rFonts w:ascii="Helvetica Neue" w:hAnsi="Helvetica Neue" w:cs="宋体"/>
                <w:color w:val="000000"/>
                <w:kern w:val="0"/>
                <w:szCs w:val="21"/>
              </w:rPr>
              <w:br w:type="textWrapping"/>
            </w:r>
            <w:r>
              <w:rPr>
                <w:rFonts w:ascii="Helvetica Neue" w:hAnsi="Helvetica Neue" w:cs="宋体"/>
                <w:color w:val="000000"/>
                <w:kern w:val="0"/>
                <w:szCs w:val="21"/>
              </w:rPr>
              <w:t>树根客户服务入口支持以下几种方式：</w:t>
            </w:r>
            <w:r>
              <w:rPr>
                <w:rFonts w:ascii="Helvetica Neue" w:hAnsi="Helvetica Neue" w:cs="宋体"/>
                <w:color w:val="000000"/>
                <w:kern w:val="0"/>
                <w:szCs w:val="21"/>
              </w:rPr>
              <w:br w:type="textWrapping"/>
            </w:r>
            <w:r>
              <w:rPr>
                <w:rFonts w:ascii="Helvetica Neue" w:hAnsi="Helvetica Neue" w:cs="宋体"/>
                <w:color w:val="000000"/>
                <w:kern w:val="0"/>
                <w:szCs w:val="21"/>
              </w:rPr>
              <w:t>1）树根官方客服热线：400-868-1122转2号线</w:t>
            </w:r>
            <w:r>
              <w:rPr>
                <w:rFonts w:ascii="Helvetica Neue" w:hAnsi="Helvetica Neue" w:cs="宋体"/>
                <w:color w:val="000000"/>
                <w:kern w:val="0"/>
                <w:szCs w:val="21"/>
              </w:rPr>
              <w:br w:type="textWrapping"/>
            </w:r>
            <w:r>
              <w:rPr>
                <w:rFonts w:ascii="Helvetica Neue" w:hAnsi="Helvetica Neue" w:cs="宋体"/>
                <w:color w:val="000000"/>
                <w:kern w:val="0"/>
                <w:szCs w:val="21"/>
              </w:rPr>
              <w:t>2）树根官方客服网站：</w:t>
            </w:r>
            <w:r>
              <w:fldChar w:fldCharType="begin"/>
            </w:r>
            <w:r>
              <w:instrText xml:space="preserve"> HYPERLINK "https://rootcloud.kf5.com/" </w:instrText>
            </w:r>
            <w:r>
              <w:fldChar w:fldCharType="separate"/>
            </w:r>
            <w:r>
              <w:rPr>
                <w:rFonts w:ascii="Helvetica Neue" w:hAnsi="Helvetica Neue" w:cs="宋体"/>
                <w:color w:val="267EF0"/>
                <w:kern w:val="0"/>
                <w:szCs w:val="21"/>
                <w:u w:val="single"/>
              </w:rPr>
              <w:t>https://rootcloud.kf5.com/</w:t>
            </w:r>
            <w:r>
              <w:rPr>
                <w:rFonts w:ascii="Helvetica Neue" w:hAnsi="Helvetica Neue" w:cs="宋体"/>
                <w:color w:val="267EF0"/>
                <w:kern w:val="0"/>
                <w:szCs w:val="21"/>
                <w:u w:val="single"/>
              </w:rPr>
              <w:fldChar w:fldCharType="end"/>
            </w:r>
            <w:r>
              <w:rPr>
                <w:rFonts w:ascii="Helvetica Neue" w:hAnsi="Helvetica Neue" w:cs="宋体"/>
                <w:color w:val="000000"/>
                <w:kern w:val="0"/>
                <w:szCs w:val="21"/>
              </w:rPr>
              <w:br w:type="textWrapping"/>
            </w:r>
            <w:r>
              <w:rPr>
                <w:rFonts w:ascii="Helvetica Neue" w:hAnsi="Helvetica Neue" w:cs="宋体"/>
                <w:color w:val="000000"/>
                <w:kern w:val="0"/>
                <w:szCs w:val="21"/>
              </w:rPr>
              <w:t>3）树根官方客服公众号：微信搜索“树根互联官方服务号”，点击右下角“联系我们”、“问题反馈”</w:t>
            </w:r>
            <w:r>
              <w:rPr>
                <w:rFonts w:ascii="Helvetica Neue" w:hAnsi="Helvetica Neue" w:cs="宋体"/>
                <w:color w:val="000000"/>
                <w:kern w:val="0"/>
                <w:szCs w:val="21"/>
              </w:rPr>
              <w:br w:type="textWrapping"/>
            </w:r>
            <w:r>
              <w:rPr>
                <w:rFonts w:ascii="Helvetica Neue" w:hAnsi="Helvetica Neue" w:cs="宋体"/>
                <w:color w:val="000000"/>
                <w:kern w:val="0"/>
                <w:szCs w:val="21"/>
              </w:rPr>
              <w:t xml:space="preserve">4）树根官方服务邮箱： </w:t>
            </w:r>
            <w:r>
              <w:fldChar w:fldCharType="begin"/>
            </w:r>
            <w:r>
              <w:instrText xml:space="preserve"> HYPERLINK "http://support@rootcloud.kf5.com" </w:instrText>
            </w:r>
            <w:r>
              <w:fldChar w:fldCharType="separate"/>
            </w:r>
            <w:r>
              <w:rPr>
                <w:rFonts w:ascii="Helvetica Neue" w:hAnsi="Helvetica Neue" w:cs="宋体"/>
                <w:color w:val="267EF0"/>
                <w:kern w:val="0"/>
                <w:szCs w:val="21"/>
                <w:u w:val="single"/>
              </w:rPr>
              <w:t>support@rootcloud.kf5.com</w:t>
            </w:r>
            <w:r>
              <w:rPr>
                <w:rFonts w:ascii="Helvetica Neue" w:hAnsi="Helvetica Neue" w:cs="宋体"/>
                <w:color w:val="267EF0"/>
                <w:kern w:val="0"/>
                <w:szCs w:val="21"/>
                <w:u w:val="single"/>
              </w:rPr>
              <w:fldChar w:fldCharType="end"/>
            </w:r>
          </w:p>
        </w:tc>
        <w:tc>
          <w:tcPr>
            <w:tcW w:w="50" w:type="dxa"/>
            <w:vAlign w:val="center"/>
          </w:tcPr>
          <w:p w14:paraId="4E243926">
            <w:pPr>
              <w:widowControl/>
              <w:jc w:val="left"/>
              <w:rPr>
                <w:rFonts w:eastAsia="Times New Roman"/>
                <w:kern w:val="0"/>
                <w:szCs w:val="21"/>
              </w:rPr>
            </w:pPr>
          </w:p>
        </w:tc>
      </w:tr>
      <w:tr w14:paraId="14B9C556">
        <w:tblPrEx>
          <w:tblCellMar>
            <w:top w:w="15" w:type="dxa"/>
            <w:left w:w="15" w:type="dxa"/>
            <w:bottom w:w="15" w:type="dxa"/>
            <w:right w:w="15" w:type="dxa"/>
          </w:tblCellMar>
        </w:tblPrEx>
        <w:trPr>
          <w:trHeight w:val="390" w:hRule="atLeast"/>
        </w:trPr>
        <w:tc>
          <w:tcPr>
            <w:tcW w:w="741" w:type="dxa"/>
            <w:vMerge w:val="restart"/>
            <w:tcBorders>
              <w:left w:val="single" w:color="000000" w:sz="4" w:space="0"/>
              <w:bottom w:val="single" w:color="000000" w:sz="4" w:space="0"/>
              <w:right w:val="single" w:color="000000" w:sz="4" w:space="0"/>
            </w:tcBorders>
            <w:noWrap/>
            <w:vAlign w:val="center"/>
          </w:tcPr>
          <w:p w14:paraId="547C43E9">
            <w:pPr>
              <w:widowControl/>
              <w:jc w:val="center"/>
              <w:rPr>
                <w:rFonts w:ascii="宋体" w:hAnsi="宋体" w:cs="宋体"/>
                <w:color w:val="000000"/>
                <w:kern w:val="0"/>
                <w:szCs w:val="21"/>
              </w:rPr>
            </w:pPr>
            <w:r>
              <w:rPr>
                <w:rFonts w:ascii="宋体" w:hAnsi="宋体" w:cs="宋体"/>
                <w:color w:val="000000"/>
                <w:kern w:val="0"/>
                <w:szCs w:val="21"/>
              </w:rPr>
              <w:t>3</w:t>
            </w:r>
          </w:p>
        </w:tc>
        <w:tc>
          <w:tcPr>
            <w:tcW w:w="1244" w:type="dxa"/>
            <w:vMerge w:val="restart"/>
            <w:tcBorders>
              <w:bottom w:val="single" w:color="000000" w:sz="4" w:space="0"/>
              <w:right w:val="single" w:color="000000" w:sz="4" w:space="0"/>
            </w:tcBorders>
            <w:noWrap/>
            <w:vAlign w:val="center"/>
          </w:tcPr>
          <w:p w14:paraId="3E461BDC">
            <w:pPr>
              <w:widowControl/>
              <w:jc w:val="center"/>
              <w:rPr>
                <w:rFonts w:ascii="宋体" w:hAnsi="宋体" w:cs="宋体"/>
                <w:color w:val="000000"/>
                <w:kern w:val="0"/>
                <w:szCs w:val="21"/>
              </w:rPr>
            </w:pPr>
            <w:r>
              <w:rPr>
                <w:rFonts w:ascii="宋体" w:hAnsi="宋体" w:cs="宋体"/>
                <w:color w:val="000000"/>
                <w:kern w:val="0"/>
                <w:szCs w:val="21"/>
              </w:rPr>
              <w:t>问题响应</w:t>
            </w:r>
          </w:p>
        </w:tc>
        <w:tc>
          <w:tcPr>
            <w:tcW w:w="2127" w:type="dxa"/>
            <w:tcBorders>
              <w:top w:val="single" w:color="000000" w:sz="4" w:space="0"/>
              <w:left w:val="single" w:color="000000" w:sz="4" w:space="0"/>
              <w:bottom w:val="single" w:color="000000" w:sz="4" w:space="0"/>
              <w:right w:val="single" w:color="000000" w:sz="4" w:space="0"/>
            </w:tcBorders>
            <w:noWrap/>
            <w:vAlign w:val="center"/>
          </w:tcPr>
          <w:p w14:paraId="22A79513">
            <w:pPr>
              <w:widowControl/>
              <w:jc w:val="left"/>
              <w:rPr>
                <w:rFonts w:ascii="宋体" w:hAnsi="宋体" w:cs="宋体"/>
                <w:color w:val="333333"/>
                <w:kern w:val="0"/>
                <w:szCs w:val="21"/>
              </w:rPr>
            </w:pPr>
            <w:r>
              <w:rPr>
                <w:rFonts w:ascii="宋体" w:hAnsi="宋体" w:cs="宋体"/>
                <w:color w:val="333333"/>
                <w:kern w:val="0"/>
                <w:szCs w:val="21"/>
              </w:rPr>
              <w:t>故障分类</w:t>
            </w:r>
          </w:p>
        </w:tc>
        <w:tc>
          <w:tcPr>
            <w:tcW w:w="2988" w:type="dxa"/>
            <w:tcBorders>
              <w:top w:val="single" w:color="000000" w:sz="4" w:space="0"/>
              <w:left w:val="single" w:color="000000" w:sz="4" w:space="0"/>
              <w:bottom w:val="single" w:color="000000" w:sz="4" w:space="0"/>
              <w:right w:val="single" w:color="000000" w:sz="4" w:space="0"/>
            </w:tcBorders>
            <w:noWrap/>
            <w:vAlign w:val="center"/>
          </w:tcPr>
          <w:p w14:paraId="120EBEB1">
            <w:pPr>
              <w:widowControl/>
              <w:jc w:val="left"/>
              <w:rPr>
                <w:rFonts w:ascii="宋体" w:hAnsi="宋体" w:cs="宋体"/>
                <w:color w:val="333333"/>
                <w:kern w:val="0"/>
                <w:szCs w:val="21"/>
              </w:rPr>
            </w:pPr>
            <w:r>
              <w:rPr>
                <w:rFonts w:ascii="宋体" w:hAnsi="宋体" w:cs="宋体"/>
                <w:color w:val="333333"/>
                <w:kern w:val="0"/>
                <w:szCs w:val="21"/>
              </w:rPr>
              <w:t>等级定义</w:t>
            </w:r>
          </w:p>
        </w:tc>
        <w:tc>
          <w:tcPr>
            <w:tcW w:w="1689" w:type="dxa"/>
            <w:tcBorders>
              <w:top w:val="single" w:color="000000" w:sz="4" w:space="0"/>
              <w:left w:val="single" w:color="000000" w:sz="4" w:space="0"/>
              <w:bottom w:val="single" w:color="000000" w:sz="4" w:space="0"/>
              <w:right w:val="single" w:color="000000" w:sz="4" w:space="0"/>
            </w:tcBorders>
            <w:noWrap/>
            <w:vAlign w:val="center"/>
          </w:tcPr>
          <w:p w14:paraId="5AB63609">
            <w:pPr>
              <w:widowControl/>
              <w:jc w:val="left"/>
              <w:rPr>
                <w:rFonts w:ascii="宋体" w:hAnsi="宋体" w:cs="宋体"/>
                <w:color w:val="333333"/>
                <w:kern w:val="0"/>
                <w:szCs w:val="21"/>
              </w:rPr>
            </w:pPr>
            <w:r>
              <w:rPr>
                <w:rFonts w:ascii="宋体" w:hAnsi="宋体" w:cs="宋体"/>
                <w:color w:val="333333"/>
                <w:kern w:val="0"/>
                <w:szCs w:val="21"/>
              </w:rPr>
              <w:t>服务标准</w:t>
            </w:r>
          </w:p>
        </w:tc>
        <w:tc>
          <w:tcPr>
            <w:tcW w:w="50" w:type="dxa"/>
            <w:vAlign w:val="center"/>
          </w:tcPr>
          <w:p w14:paraId="1B43D7C8">
            <w:pPr>
              <w:widowControl/>
              <w:jc w:val="left"/>
              <w:rPr>
                <w:rFonts w:eastAsia="Times New Roman"/>
                <w:kern w:val="0"/>
                <w:szCs w:val="21"/>
              </w:rPr>
            </w:pPr>
          </w:p>
        </w:tc>
      </w:tr>
      <w:tr w14:paraId="5B28CB0A">
        <w:tblPrEx>
          <w:tblCellMar>
            <w:top w:w="15" w:type="dxa"/>
            <w:left w:w="15" w:type="dxa"/>
            <w:bottom w:w="15" w:type="dxa"/>
            <w:right w:w="15" w:type="dxa"/>
          </w:tblCellMar>
        </w:tblPrEx>
        <w:trPr>
          <w:trHeight w:val="1485" w:hRule="atLeast"/>
        </w:trPr>
        <w:tc>
          <w:tcPr>
            <w:tcW w:w="741" w:type="dxa"/>
            <w:vMerge w:val="continue"/>
            <w:tcBorders>
              <w:left w:val="single" w:color="000000" w:sz="4" w:space="0"/>
              <w:bottom w:val="single" w:color="000000" w:sz="4" w:space="0"/>
              <w:right w:val="single" w:color="000000" w:sz="4" w:space="0"/>
            </w:tcBorders>
            <w:vAlign w:val="center"/>
          </w:tcPr>
          <w:p w14:paraId="35D43821">
            <w:pPr>
              <w:widowControl/>
              <w:jc w:val="left"/>
              <w:rPr>
                <w:rFonts w:ascii="宋体" w:hAnsi="宋体" w:cs="宋体"/>
                <w:color w:val="000000"/>
                <w:kern w:val="0"/>
                <w:szCs w:val="21"/>
              </w:rPr>
            </w:pPr>
          </w:p>
        </w:tc>
        <w:tc>
          <w:tcPr>
            <w:tcW w:w="1244" w:type="dxa"/>
            <w:vMerge w:val="continue"/>
            <w:tcBorders>
              <w:bottom w:val="single" w:color="000000" w:sz="4" w:space="0"/>
              <w:right w:val="single" w:color="000000" w:sz="4" w:space="0"/>
            </w:tcBorders>
            <w:vAlign w:val="center"/>
          </w:tcPr>
          <w:p w14:paraId="297A1332">
            <w:pPr>
              <w:widowControl/>
              <w:jc w:val="left"/>
              <w:rPr>
                <w:rFonts w:ascii="宋体" w:hAnsi="宋体" w:cs="宋体"/>
                <w:color w:val="000000"/>
                <w:kern w:val="0"/>
                <w:szCs w:val="21"/>
              </w:rPr>
            </w:pPr>
          </w:p>
        </w:tc>
        <w:tc>
          <w:tcPr>
            <w:tcW w:w="2127" w:type="dxa"/>
            <w:tcBorders>
              <w:top w:val="single" w:color="000000" w:sz="4" w:space="0"/>
              <w:left w:val="single" w:color="000000" w:sz="4" w:space="0"/>
              <w:bottom w:val="single" w:color="000000" w:sz="4" w:space="0"/>
              <w:right w:val="single" w:color="000000" w:sz="4" w:space="0"/>
            </w:tcBorders>
            <w:vAlign w:val="center"/>
          </w:tcPr>
          <w:p w14:paraId="4B3F2A66">
            <w:pPr>
              <w:widowControl/>
              <w:jc w:val="left"/>
              <w:rPr>
                <w:rFonts w:ascii="宋体" w:hAnsi="宋体" w:cs="宋体"/>
                <w:color w:val="000000"/>
                <w:kern w:val="0"/>
                <w:szCs w:val="21"/>
              </w:rPr>
            </w:pPr>
            <w:r>
              <w:rPr>
                <w:rFonts w:hint="eastAsia" w:ascii="微软雅黑" w:hAnsi="微软雅黑" w:eastAsia="微软雅黑" w:cs="宋体"/>
                <w:color w:val="333333"/>
                <w:kern w:val="0"/>
                <w:szCs w:val="21"/>
              </w:rPr>
              <w:t>重大系统崩溃</w:t>
            </w:r>
            <w:r>
              <w:rPr>
                <w:rFonts w:ascii="宋体" w:hAnsi="宋体" w:cs="宋体"/>
                <w:color w:val="000000"/>
                <w:kern w:val="0"/>
                <w:szCs w:val="21"/>
              </w:rPr>
              <w:br w:type="textWrapping"/>
            </w:r>
            <w:r>
              <w:rPr>
                <w:rFonts w:hint="eastAsia" w:ascii="微软雅黑" w:hAnsi="微软雅黑" w:eastAsia="微软雅黑" w:cs="宋体"/>
                <w:color w:val="333333"/>
                <w:kern w:val="0"/>
                <w:szCs w:val="21"/>
              </w:rPr>
              <w:t>（严重程度为 0 级）</w:t>
            </w:r>
          </w:p>
        </w:tc>
        <w:tc>
          <w:tcPr>
            <w:tcW w:w="2988" w:type="dxa"/>
            <w:tcBorders>
              <w:top w:val="single" w:color="CBCDD1" w:sz="4" w:space="0"/>
              <w:left w:val="single" w:color="000000" w:sz="4" w:space="0"/>
              <w:bottom w:val="single" w:color="000000" w:sz="4" w:space="0"/>
              <w:right w:val="single" w:color="000000" w:sz="4" w:space="0"/>
            </w:tcBorders>
            <w:vAlign w:val="center"/>
          </w:tcPr>
          <w:p w14:paraId="514A5E99">
            <w:pPr>
              <w:widowControl/>
              <w:jc w:val="left"/>
              <w:rPr>
                <w:rFonts w:ascii="宋体" w:hAnsi="宋体" w:cs="宋体"/>
                <w:kern w:val="0"/>
                <w:szCs w:val="21"/>
              </w:rPr>
            </w:pPr>
            <w:r>
              <w:rPr>
                <w:rFonts w:ascii="宋体" w:hAnsi="宋体" w:cs="宋体"/>
                <w:kern w:val="0"/>
                <w:szCs w:val="21"/>
              </w:rPr>
              <w:t>严重故障导致系统主要功能崩溃、无法运行。服务或者设备处于完全不可用状态，客户业务完全终止，客户无法完成任何日常性工作。</w:t>
            </w:r>
          </w:p>
        </w:tc>
        <w:tc>
          <w:tcPr>
            <w:tcW w:w="1689" w:type="dxa"/>
            <w:tcBorders>
              <w:top w:val="single" w:color="CBCDD1" w:sz="4" w:space="0"/>
              <w:left w:val="single" w:color="000000" w:sz="4" w:space="0"/>
              <w:bottom w:val="single" w:color="000000" w:sz="4" w:space="0"/>
              <w:right w:val="single" w:color="000000" w:sz="4" w:space="0"/>
            </w:tcBorders>
            <w:vAlign w:val="center"/>
          </w:tcPr>
          <w:p w14:paraId="2D1C01BA">
            <w:pPr>
              <w:widowControl/>
              <w:jc w:val="left"/>
              <w:rPr>
                <w:rFonts w:ascii="宋体" w:hAnsi="宋体" w:cs="宋体"/>
                <w:kern w:val="0"/>
                <w:szCs w:val="21"/>
              </w:rPr>
            </w:pPr>
            <w:r>
              <w:rPr>
                <w:rFonts w:ascii="宋体" w:hAnsi="宋体" w:cs="宋体"/>
                <w:kern w:val="0"/>
                <w:szCs w:val="21"/>
              </w:rPr>
              <w:t>服务时间内2小时内响应，客户工作时间24小时内解决问题</w:t>
            </w:r>
          </w:p>
        </w:tc>
        <w:tc>
          <w:tcPr>
            <w:tcW w:w="50" w:type="dxa"/>
            <w:vAlign w:val="center"/>
          </w:tcPr>
          <w:p w14:paraId="267B16DC">
            <w:pPr>
              <w:widowControl/>
              <w:jc w:val="left"/>
              <w:rPr>
                <w:rFonts w:eastAsia="Times New Roman"/>
                <w:kern w:val="0"/>
                <w:szCs w:val="21"/>
              </w:rPr>
            </w:pPr>
          </w:p>
        </w:tc>
      </w:tr>
      <w:tr w14:paraId="100DB71F">
        <w:tblPrEx>
          <w:tblCellMar>
            <w:top w:w="15" w:type="dxa"/>
            <w:left w:w="15" w:type="dxa"/>
            <w:bottom w:w="15" w:type="dxa"/>
            <w:right w:w="15" w:type="dxa"/>
          </w:tblCellMar>
        </w:tblPrEx>
        <w:trPr>
          <w:trHeight w:val="1275" w:hRule="atLeast"/>
        </w:trPr>
        <w:tc>
          <w:tcPr>
            <w:tcW w:w="741" w:type="dxa"/>
            <w:vMerge w:val="continue"/>
            <w:tcBorders>
              <w:left w:val="single" w:color="000000" w:sz="4" w:space="0"/>
              <w:bottom w:val="single" w:color="000000" w:sz="4" w:space="0"/>
              <w:right w:val="single" w:color="000000" w:sz="4" w:space="0"/>
            </w:tcBorders>
            <w:vAlign w:val="center"/>
          </w:tcPr>
          <w:p w14:paraId="470225A9">
            <w:pPr>
              <w:widowControl/>
              <w:jc w:val="left"/>
              <w:rPr>
                <w:rFonts w:ascii="宋体" w:hAnsi="宋体" w:cs="宋体"/>
                <w:color w:val="000000"/>
                <w:kern w:val="0"/>
                <w:szCs w:val="21"/>
              </w:rPr>
            </w:pPr>
          </w:p>
        </w:tc>
        <w:tc>
          <w:tcPr>
            <w:tcW w:w="1244" w:type="dxa"/>
            <w:vMerge w:val="continue"/>
            <w:tcBorders>
              <w:bottom w:val="single" w:color="000000" w:sz="4" w:space="0"/>
              <w:right w:val="single" w:color="000000" w:sz="4" w:space="0"/>
            </w:tcBorders>
            <w:vAlign w:val="center"/>
          </w:tcPr>
          <w:p w14:paraId="386B94DE">
            <w:pPr>
              <w:widowControl/>
              <w:jc w:val="left"/>
              <w:rPr>
                <w:rFonts w:ascii="宋体" w:hAnsi="宋体" w:cs="宋体"/>
                <w:color w:val="000000"/>
                <w:kern w:val="0"/>
                <w:szCs w:val="21"/>
              </w:rPr>
            </w:pPr>
          </w:p>
        </w:tc>
        <w:tc>
          <w:tcPr>
            <w:tcW w:w="2127" w:type="dxa"/>
            <w:tcBorders>
              <w:top w:val="single" w:color="000000" w:sz="4" w:space="0"/>
              <w:left w:val="single" w:color="000000" w:sz="4" w:space="0"/>
              <w:bottom w:val="single" w:color="000000" w:sz="4" w:space="0"/>
              <w:right w:val="single" w:color="000000" w:sz="4" w:space="0"/>
            </w:tcBorders>
            <w:vAlign w:val="center"/>
          </w:tcPr>
          <w:p w14:paraId="123AE5A3">
            <w:pPr>
              <w:widowControl/>
              <w:jc w:val="left"/>
              <w:rPr>
                <w:rFonts w:ascii="宋体" w:hAnsi="宋体" w:cs="宋体"/>
                <w:color w:val="000000"/>
                <w:kern w:val="0"/>
                <w:szCs w:val="21"/>
              </w:rPr>
            </w:pPr>
            <w:r>
              <w:rPr>
                <w:rFonts w:hint="eastAsia" w:ascii="微软雅黑" w:hAnsi="微软雅黑" w:eastAsia="微软雅黑" w:cs="宋体"/>
                <w:color w:val="333333"/>
                <w:kern w:val="0"/>
                <w:szCs w:val="21"/>
              </w:rPr>
              <w:t>严重影响业务运行</w:t>
            </w:r>
            <w:r>
              <w:rPr>
                <w:rFonts w:ascii="宋体" w:hAnsi="宋体" w:cs="宋体"/>
                <w:color w:val="000000"/>
                <w:kern w:val="0"/>
                <w:szCs w:val="21"/>
              </w:rPr>
              <w:br w:type="textWrapping"/>
            </w:r>
            <w:r>
              <w:rPr>
                <w:rFonts w:hint="eastAsia" w:ascii="微软雅黑" w:hAnsi="微软雅黑" w:eastAsia="微软雅黑" w:cs="宋体"/>
                <w:color w:val="333333"/>
                <w:kern w:val="0"/>
                <w:szCs w:val="21"/>
              </w:rPr>
              <w:t>（严重程度为 1 级）</w:t>
            </w:r>
          </w:p>
        </w:tc>
        <w:tc>
          <w:tcPr>
            <w:tcW w:w="2988" w:type="dxa"/>
            <w:tcBorders>
              <w:top w:val="single" w:color="CBCDD1" w:sz="4" w:space="0"/>
              <w:left w:val="single" w:color="000000" w:sz="4" w:space="0"/>
              <w:bottom w:val="single" w:color="000000" w:sz="4" w:space="0"/>
              <w:right w:val="single" w:color="000000" w:sz="4" w:space="0"/>
            </w:tcBorders>
            <w:vAlign w:val="center"/>
          </w:tcPr>
          <w:p w14:paraId="788861A6">
            <w:pPr>
              <w:widowControl/>
              <w:jc w:val="left"/>
              <w:rPr>
                <w:rFonts w:ascii="宋体" w:hAnsi="宋体" w:cs="宋体"/>
                <w:kern w:val="0"/>
                <w:szCs w:val="21"/>
              </w:rPr>
            </w:pPr>
            <w:r>
              <w:rPr>
                <w:rFonts w:ascii="宋体" w:hAnsi="宋体" w:cs="宋体"/>
                <w:kern w:val="0"/>
                <w:szCs w:val="21"/>
              </w:rPr>
              <w:t>主要功能受到影响或出现显著性能下降，关键业务职能部分损失，无法使用服务提供的重要功能</w:t>
            </w:r>
          </w:p>
        </w:tc>
        <w:tc>
          <w:tcPr>
            <w:tcW w:w="1689" w:type="dxa"/>
            <w:tcBorders>
              <w:top w:val="single" w:color="CBCDD1" w:sz="4" w:space="0"/>
              <w:left w:val="single" w:color="000000" w:sz="4" w:space="0"/>
              <w:bottom w:val="single" w:color="000000" w:sz="4" w:space="0"/>
              <w:right w:val="single" w:color="000000" w:sz="4" w:space="0"/>
            </w:tcBorders>
            <w:vAlign w:val="center"/>
          </w:tcPr>
          <w:p w14:paraId="2317096E">
            <w:pPr>
              <w:widowControl/>
              <w:jc w:val="left"/>
              <w:rPr>
                <w:rFonts w:ascii="宋体" w:hAnsi="宋体" w:cs="宋体"/>
                <w:kern w:val="0"/>
                <w:szCs w:val="21"/>
              </w:rPr>
            </w:pPr>
            <w:r>
              <w:rPr>
                <w:rFonts w:ascii="宋体" w:hAnsi="宋体" w:cs="宋体"/>
                <w:kern w:val="0"/>
                <w:szCs w:val="21"/>
              </w:rPr>
              <w:t>服务时间内4小时内响应，客户工作时间72小时内解决问题</w:t>
            </w:r>
          </w:p>
        </w:tc>
        <w:tc>
          <w:tcPr>
            <w:tcW w:w="50" w:type="dxa"/>
            <w:vAlign w:val="center"/>
          </w:tcPr>
          <w:p w14:paraId="45D178A2">
            <w:pPr>
              <w:widowControl/>
              <w:jc w:val="left"/>
              <w:rPr>
                <w:rFonts w:eastAsia="Times New Roman"/>
                <w:kern w:val="0"/>
                <w:szCs w:val="21"/>
              </w:rPr>
            </w:pPr>
          </w:p>
        </w:tc>
      </w:tr>
      <w:tr w14:paraId="7045C38A">
        <w:tblPrEx>
          <w:tblCellMar>
            <w:top w:w="15" w:type="dxa"/>
            <w:left w:w="15" w:type="dxa"/>
            <w:bottom w:w="15" w:type="dxa"/>
            <w:right w:w="15" w:type="dxa"/>
          </w:tblCellMar>
        </w:tblPrEx>
        <w:trPr>
          <w:trHeight w:val="1110" w:hRule="atLeast"/>
        </w:trPr>
        <w:tc>
          <w:tcPr>
            <w:tcW w:w="741" w:type="dxa"/>
            <w:vMerge w:val="continue"/>
            <w:tcBorders>
              <w:left w:val="single" w:color="000000" w:sz="4" w:space="0"/>
              <w:bottom w:val="single" w:color="000000" w:sz="4" w:space="0"/>
              <w:right w:val="single" w:color="000000" w:sz="4" w:space="0"/>
            </w:tcBorders>
            <w:vAlign w:val="center"/>
          </w:tcPr>
          <w:p w14:paraId="7936D2AF">
            <w:pPr>
              <w:widowControl/>
              <w:jc w:val="left"/>
              <w:rPr>
                <w:rFonts w:ascii="宋体" w:hAnsi="宋体" w:cs="宋体"/>
                <w:color w:val="000000"/>
                <w:kern w:val="0"/>
                <w:szCs w:val="21"/>
              </w:rPr>
            </w:pPr>
          </w:p>
        </w:tc>
        <w:tc>
          <w:tcPr>
            <w:tcW w:w="1244" w:type="dxa"/>
            <w:vMerge w:val="continue"/>
            <w:tcBorders>
              <w:bottom w:val="single" w:color="000000" w:sz="4" w:space="0"/>
              <w:right w:val="single" w:color="000000" w:sz="4" w:space="0"/>
            </w:tcBorders>
            <w:vAlign w:val="center"/>
          </w:tcPr>
          <w:p w14:paraId="473D8D24">
            <w:pPr>
              <w:widowControl/>
              <w:jc w:val="left"/>
              <w:rPr>
                <w:rFonts w:ascii="宋体" w:hAnsi="宋体" w:cs="宋体"/>
                <w:color w:val="000000"/>
                <w:kern w:val="0"/>
                <w:szCs w:val="21"/>
              </w:rPr>
            </w:pPr>
          </w:p>
        </w:tc>
        <w:tc>
          <w:tcPr>
            <w:tcW w:w="2127" w:type="dxa"/>
            <w:tcBorders>
              <w:top w:val="single" w:color="000000" w:sz="4" w:space="0"/>
              <w:left w:val="single" w:color="000000" w:sz="4" w:space="0"/>
              <w:bottom w:val="single" w:color="000000" w:sz="4" w:space="0"/>
              <w:right w:val="single" w:color="000000" w:sz="4" w:space="0"/>
            </w:tcBorders>
            <w:vAlign w:val="center"/>
          </w:tcPr>
          <w:p w14:paraId="1F5C8ACD">
            <w:pPr>
              <w:widowControl/>
              <w:jc w:val="left"/>
              <w:rPr>
                <w:rFonts w:ascii="宋体" w:hAnsi="宋体" w:cs="宋体"/>
                <w:color w:val="000000"/>
                <w:kern w:val="0"/>
                <w:szCs w:val="21"/>
              </w:rPr>
            </w:pPr>
            <w:r>
              <w:rPr>
                <w:rFonts w:hint="eastAsia" w:ascii="微软雅黑" w:hAnsi="微软雅黑" w:eastAsia="微软雅黑" w:cs="宋体"/>
                <w:color w:val="333333"/>
                <w:kern w:val="0"/>
                <w:szCs w:val="21"/>
              </w:rPr>
              <w:t>一般影响</w:t>
            </w:r>
            <w:r>
              <w:rPr>
                <w:rFonts w:ascii="宋体" w:hAnsi="宋体" w:cs="宋体"/>
                <w:color w:val="000000"/>
                <w:kern w:val="0"/>
                <w:szCs w:val="21"/>
              </w:rPr>
              <w:br w:type="textWrapping"/>
            </w:r>
            <w:r>
              <w:rPr>
                <w:rFonts w:hint="eastAsia" w:ascii="微软雅黑" w:hAnsi="微软雅黑" w:eastAsia="微软雅黑" w:cs="宋体"/>
                <w:color w:val="333333"/>
                <w:kern w:val="0"/>
                <w:szCs w:val="21"/>
              </w:rPr>
              <w:t>（严重程度为 2 级）</w:t>
            </w:r>
          </w:p>
        </w:tc>
        <w:tc>
          <w:tcPr>
            <w:tcW w:w="2988" w:type="dxa"/>
            <w:tcBorders>
              <w:top w:val="single" w:color="CBCDD1" w:sz="4" w:space="0"/>
              <w:left w:val="single" w:color="000000" w:sz="4" w:space="0"/>
              <w:bottom w:val="single" w:color="000000" w:sz="4" w:space="0"/>
              <w:right w:val="single" w:color="000000" w:sz="4" w:space="0"/>
            </w:tcBorders>
            <w:vAlign w:val="center"/>
          </w:tcPr>
          <w:p w14:paraId="3C45A374">
            <w:pPr>
              <w:widowControl/>
              <w:jc w:val="left"/>
              <w:rPr>
                <w:rFonts w:ascii="宋体" w:hAnsi="宋体" w:cs="宋体"/>
                <w:kern w:val="0"/>
                <w:szCs w:val="21"/>
              </w:rPr>
            </w:pPr>
            <w:r>
              <w:rPr>
                <w:rFonts w:ascii="宋体" w:hAnsi="宋体" w:cs="宋体"/>
                <w:kern w:val="0"/>
                <w:szCs w:val="21"/>
              </w:rPr>
              <w:t>设备在运行中出现的，影响系统功能和性能，但关键业务不受影响的故障。</w:t>
            </w:r>
          </w:p>
        </w:tc>
        <w:tc>
          <w:tcPr>
            <w:tcW w:w="1689" w:type="dxa"/>
            <w:tcBorders>
              <w:top w:val="single" w:color="CBCDD1" w:sz="4" w:space="0"/>
              <w:left w:val="single" w:color="000000" w:sz="4" w:space="0"/>
              <w:bottom w:val="single" w:color="000000" w:sz="4" w:space="0"/>
              <w:right w:val="single" w:color="000000" w:sz="4" w:space="0"/>
            </w:tcBorders>
            <w:vAlign w:val="center"/>
          </w:tcPr>
          <w:p w14:paraId="569C6FD5">
            <w:pPr>
              <w:widowControl/>
              <w:jc w:val="left"/>
              <w:rPr>
                <w:rFonts w:ascii="宋体" w:hAnsi="宋体" w:cs="宋体"/>
                <w:kern w:val="0"/>
                <w:szCs w:val="21"/>
              </w:rPr>
            </w:pPr>
            <w:r>
              <w:rPr>
                <w:rFonts w:ascii="宋体" w:hAnsi="宋体" w:cs="宋体"/>
                <w:kern w:val="0"/>
                <w:szCs w:val="21"/>
              </w:rPr>
              <w:t>服务时间内8小时内响应，客户工作时间一周内解决问题</w:t>
            </w:r>
          </w:p>
        </w:tc>
        <w:tc>
          <w:tcPr>
            <w:tcW w:w="50" w:type="dxa"/>
            <w:vAlign w:val="center"/>
          </w:tcPr>
          <w:p w14:paraId="4A7B1E49">
            <w:pPr>
              <w:widowControl/>
              <w:jc w:val="left"/>
              <w:rPr>
                <w:rFonts w:eastAsia="Times New Roman"/>
                <w:kern w:val="0"/>
                <w:szCs w:val="21"/>
              </w:rPr>
            </w:pPr>
          </w:p>
        </w:tc>
      </w:tr>
      <w:tr w14:paraId="36B904A5">
        <w:tblPrEx>
          <w:tblCellMar>
            <w:top w:w="15" w:type="dxa"/>
            <w:left w:w="15" w:type="dxa"/>
            <w:bottom w:w="15" w:type="dxa"/>
            <w:right w:w="15" w:type="dxa"/>
          </w:tblCellMar>
        </w:tblPrEx>
        <w:trPr>
          <w:trHeight w:val="1110" w:hRule="atLeast"/>
        </w:trPr>
        <w:tc>
          <w:tcPr>
            <w:tcW w:w="741" w:type="dxa"/>
            <w:tcBorders>
              <w:left w:val="single" w:color="000000" w:sz="4" w:space="0"/>
              <w:bottom w:val="single" w:color="000000" w:sz="4" w:space="0"/>
              <w:right w:val="single" w:color="000000" w:sz="4" w:space="0"/>
            </w:tcBorders>
            <w:noWrap/>
            <w:vAlign w:val="center"/>
          </w:tcPr>
          <w:p w14:paraId="53BCB761">
            <w:pPr>
              <w:widowControl/>
              <w:jc w:val="center"/>
              <w:rPr>
                <w:rFonts w:ascii="宋体" w:hAnsi="宋体" w:cs="宋体"/>
                <w:color w:val="000000"/>
                <w:kern w:val="0"/>
                <w:szCs w:val="21"/>
              </w:rPr>
            </w:pPr>
            <w:r>
              <w:rPr>
                <w:rFonts w:ascii="宋体" w:hAnsi="宋体" w:cs="宋体"/>
                <w:color w:val="000000"/>
                <w:kern w:val="0"/>
                <w:szCs w:val="21"/>
              </w:rPr>
              <w:t>4</w:t>
            </w:r>
          </w:p>
        </w:tc>
        <w:tc>
          <w:tcPr>
            <w:tcW w:w="1244" w:type="dxa"/>
            <w:tcBorders>
              <w:bottom w:val="single" w:color="000000" w:sz="4" w:space="0"/>
              <w:right w:val="single" w:color="000000" w:sz="4" w:space="0"/>
            </w:tcBorders>
            <w:noWrap/>
            <w:vAlign w:val="center"/>
          </w:tcPr>
          <w:p w14:paraId="09D3E4F9">
            <w:pPr>
              <w:widowControl/>
              <w:jc w:val="center"/>
              <w:rPr>
                <w:rFonts w:ascii="宋体" w:hAnsi="宋体" w:cs="宋体"/>
                <w:color w:val="000000"/>
                <w:kern w:val="0"/>
                <w:szCs w:val="21"/>
              </w:rPr>
            </w:pPr>
            <w:r>
              <w:rPr>
                <w:rFonts w:ascii="宋体" w:hAnsi="宋体" w:cs="宋体"/>
                <w:color w:val="000000"/>
                <w:kern w:val="0"/>
                <w:szCs w:val="21"/>
              </w:rPr>
              <w:t>软件使用操作指导</w:t>
            </w:r>
          </w:p>
        </w:tc>
        <w:tc>
          <w:tcPr>
            <w:tcW w:w="6804" w:type="dxa"/>
            <w:gridSpan w:val="3"/>
            <w:tcBorders>
              <w:top w:val="single" w:color="000000" w:sz="4" w:space="0"/>
              <w:bottom w:val="single" w:color="000000" w:sz="4" w:space="0"/>
              <w:right w:val="single" w:color="000000" w:sz="4" w:space="0"/>
            </w:tcBorders>
            <w:vAlign w:val="center"/>
          </w:tcPr>
          <w:p w14:paraId="2103EB0B">
            <w:pPr>
              <w:widowControl/>
              <w:jc w:val="left"/>
              <w:rPr>
                <w:rFonts w:ascii="宋体" w:hAnsi="宋体" w:cs="宋体"/>
                <w:color w:val="000000"/>
                <w:kern w:val="0"/>
                <w:szCs w:val="21"/>
              </w:rPr>
            </w:pPr>
            <w:r>
              <w:rPr>
                <w:rFonts w:ascii="宋体" w:hAnsi="宋体" w:cs="宋体"/>
                <w:color w:val="000000"/>
                <w:kern w:val="0"/>
                <w:szCs w:val="21"/>
              </w:rPr>
              <w:t>操作不熟悉等原因，提供操作视频演示、电话、操作文档、远程指导。</w:t>
            </w:r>
          </w:p>
        </w:tc>
        <w:tc>
          <w:tcPr>
            <w:tcW w:w="50" w:type="dxa"/>
            <w:vAlign w:val="center"/>
          </w:tcPr>
          <w:p w14:paraId="2E5CBC85">
            <w:pPr>
              <w:widowControl/>
              <w:jc w:val="left"/>
              <w:rPr>
                <w:rFonts w:eastAsia="Times New Roman"/>
                <w:kern w:val="0"/>
                <w:szCs w:val="21"/>
              </w:rPr>
            </w:pPr>
          </w:p>
        </w:tc>
      </w:tr>
      <w:tr w14:paraId="1E8DB830">
        <w:tblPrEx>
          <w:tblCellMar>
            <w:top w:w="15" w:type="dxa"/>
            <w:left w:w="15" w:type="dxa"/>
            <w:bottom w:w="15" w:type="dxa"/>
            <w:right w:w="15" w:type="dxa"/>
          </w:tblCellMar>
        </w:tblPrEx>
        <w:trPr>
          <w:trHeight w:val="1110" w:hRule="atLeast"/>
        </w:trPr>
        <w:tc>
          <w:tcPr>
            <w:tcW w:w="741" w:type="dxa"/>
            <w:tcBorders>
              <w:left w:val="single" w:color="000000" w:sz="4" w:space="0"/>
              <w:bottom w:val="single" w:color="000000" w:sz="4" w:space="0"/>
              <w:right w:val="single" w:color="000000" w:sz="4" w:space="0"/>
            </w:tcBorders>
            <w:noWrap/>
            <w:vAlign w:val="center"/>
          </w:tcPr>
          <w:p w14:paraId="72F40EF9">
            <w:pPr>
              <w:widowControl/>
              <w:jc w:val="center"/>
              <w:rPr>
                <w:rFonts w:ascii="宋体" w:hAnsi="宋体" w:cs="宋体"/>
                <w:color w:val="000000"/>
                <w:kern w:val="0"/>
                <w:szCs w:val="21"/>
              </w:rPr>
            </w:pPr>
            <w:r>
              <w:rPr>
                <w:rFonts w:ascii="宋体" w:hAnsi="宋体" w:cs="宋体"/>
                <w:color w:val="000000"/>
                <w:kern w:val="0"/>
                <w:szCs w:val="21"/>
              </w:rPr>
              <w:t>5</w:t>
            </w:r>
          </w:p>
        </w:tc>
        <w:tc>
          <w:tcPr>
            <w:tcW w:w="1244" w:type="dxa"/>
            <w:tcBorders>
              <w:bottom w:val="single" w:color="000000" w:sz="4" w:space="0"/>
              <w:right w:val="single" w:color="000000" w:sz="4" w:space="0"/>
            </w:tcBorders>
            <w:noWrap/>
            <w:vAlign w:val="center"/>
          </w:tcPr>
          <w:p w14:paraId="17EF48EA">
            <w:pPr>
              <w:widowControl/>
              <w:jc w:val="center"/>
              <w:rPr>
                <w:rFonts w:ascii="宋体" w:hAnsi="宋体" w:cs="宋体"/>
                <w:color w:val="000000"/>
                <w:kern w:val="0"/>
                <w:szCs w:val="21"/>
              </w:rPr>
            </w:pPr>
            <w:r>
              <w:rPr>
                <w:rFonts w:ascii="宋体" w:hAnsi="宋体" w:cs="宋体"/>
                <w:color w:val="000000"/>
                <w:kern w:val="0"/>
                <w:szCs w:val="21"/>
              </w:rPr>
              <w:t>系统维护培训</w:t>
            </w:r>
          </w:p>
        </w:tc>
        <w:tc>
          <w:tcPr>
            <w:tcW w:w="6804" w:type="dxa"/>
            <w:gridSpan w:val="3"/>
            <w:tcBorders>
              <w:top w:val="single" w:color="000000" w:sz="4" w:space="0"/>
              <w:bottom w:val="single" w:color="000000" w:sz="4" w:space="0"/>
              <w:right w:val="single" w:color="000000" w:sz="4" w:space="0"/>
            </w:tcBorders>
            <w:vAlign w:val="center"/>
          </w:tcPr>
          <w:p w14:paraId="51CD068F">
            <w:pPr>
              <w:widowControl/>
              <w:jc w:val="left"/>
              <w:rPr>
                <w:rFonts w:ascii="宋体" w:hAnsi="宋体" w:cs="宋体"/>
                <w:color w:val="000000"/>
                <w:kern w:val="0"/>
                <w:szCs w:val="21"/>
              </w:rPr>
            </w:pPr>
            <w:r>
              <w:rPr>
                <w:rFonts w:ascii="Helvetica Neue" w:hAnsi="Helvetica Neue" w:cs="宋体"/>
                <w:color w:val="000000"/>
                <w:kern w:val="0"/>
                <w:szCs w:val="21"/>
              </w:rPr>
              <w:t>提供</w:t>
            </w:r>
            <w:r>
              <w:rPr>
                <w:rFonts w:ascii="Helvetica Neue" w:hAnsi="Helvetica Neue" w:cs="宋体"/>
                <w:kern w:val="0"/>
                <w:szCs w:val="21"/>
              </w:rPr>
              <w:t>5次</w:t>
            </w:r>
            <w:r>
              <w:rPr>
                <w:rFonts w:ascii="Helvetica Neue" w:hAnsi="Helvetica Neue" w:cs="宋体"/>
                <w:color w:val="000000"/>
                <w:kern w:val="0"/>
                <w:szCs w:val="21"/>
              </w:rPr>
              <w:t>系统维护技术在线培训，含系统操作，基础运维等培训。</w:t>
            </w:r>
          </w:p>
        </w:tc>
        <w:tc>
          <w:tcPr>
            <w:tcW w:w="50" w:type="dxa"/>
            <w:vAlign w:val="center"/>
          </w:tcPr>
          <w:p w14:paraId="418175B7">
            <w:pPr>
              <w:widowControl/>
              <w:jc w:val="left"/>
              <w:rPr>
                <w:rFonts w:eastAsia="Times New Roman"/>
                <w:kern w:val="0"/>
                <w:szCs w:val="21"/>
              </w:rPr>
            </w:pPr>
          </w:p>
        </w:tc>
      </w:tr>
      <w:tr w14:paraId="7008E8D1">
        <w:tblPrEx>
          <w:tblCellMar>
            <w:top w:w="15" w:type="dxa"/>
            <w:left w:w="15" w:type="dxa"/>
            <w:bottom w:w="15" w:type="dxa"/>
            <w:right w:w="15" w:type="dxa"/>
          </w:tblCellMar>
        </w:tblPrEx>
        <w:trPr>
          <w:trHeight w:val="1110" w:hRule="atLeast"/>
        </w:trPr>
        <w:tc>
          <w:tcPr>
            <w:tcW w:w="741" w:type="dxa"/>
            <w:tcBorders>
              <w:left w:val="single" w:color="000000" w:sz="4" w:space="0"/>
              <w:bottom w:val="single" w:color="000000" w:sz="4" w:space="0"/>
              <w:right w:val="single" w:color="000000" w:sz="4" w:space="0"/>
            </w:tcBorders>
            <w:noWrap/>
            <w:vAlign w:val="center"/>
          </w:tcPr>
          <w:p w14:paraId="3DDFC096">
            <w:pPr>
              <w:widowControl/>
              <w:jc w:val="center"/>
              <w:rPr>
                <w:rFonts w:ascii="宋体" w:hAnsi="宋体" w:cs="宋体"/>
                <w:color w:val="000000"/>
                <w:kern w:val="0"/>
                <w:szCs w:val="21"/>
              </w:rPr>
            </w:pPr>
            <w:r>
              <w:rPr>
                <w:rFonts w:ascii="宋体" w:hAnsi="宋体" w:cs="宋体"/>
                <w:color w:val="000000"/>
                <w:kern w:val="0"/>
                <w:szCs w:val="21"/>
              </w:rPr>
              <w:t>6</w:t>
            </w:r>
          </w:p>
        </w:tc>
        <w:tc>
          <w:tcPr>
            <w:tcW w:w="1244" w:type="dxa"/>
            <w:tcBorders>
              <w:bottom w:val="single" w:color="000000" w:sz="4" w:space="0"/>
              <w:right w:val="single" w:color="000000" w:sz="4" w:space="0"/>
            </w:tcBorders>
            <w:noWrap/>
            <w:vAlign w:val="center"/>
          </w:tcPr>
          <w:p w14:paraId="4BEC0858">
            <w:pPr>
              <w:widowControl/>
              <w:jc w:val="center"/>
              <w:rPr>
                <w:rFonts w:ascii="宋体" w:hAnsi="宋体" w:cs="宋体"/>
                <w:color w:val="000000"/>
                <w:kern w:val="0"/>
                <w:szCs w:val="21"/>
              </w:rPr>
            </w:pPr>
            <w:r>
              <w:rPr>
                <w:rFonts w:ascii="宋体" w:hAnsi="宋体" w:cs="宋体"/>
                <w:color w:val="000000"/>
                <w:kern w:val="0"/>
                <w:szCs w:val="21"/>
              </w:rPr>
              <w:t>系统监控报告输出</w:t>
            </w:r>
          </w:p>
        </w:tc>
        <w:tc>
          <w:tcPr>
            <w:tcW w:w="6804" w:type="dxa"/>
            <w:gridSpan w:val="3"/>
            <w:tcBorders>
              <w:top w:val="single" w:color="000000" w:sz="4" w:space="0"/>
              <w:bottom w:val="single" w:color="000000" w:sz="4" w:space="0"/>
              <w:right w:val="single" w:color="000000" w:sz="4" w:space="0"/>
            </w:tcBorders>
            <w:vAlign w:val="center"/>
          </w:tcPr>
          <w:p w14:paraId="3908E73E">
            <w:pPr>
              <w:widowControl/>
              <w:jc w:val="left"/>
              <w:rPr>
                <w:rFonts w:ascii="宋体" w:hAnsi="宋体" w:cs="宋体"/>
                <w:color w:val="000000"/>
                <w:kern w:val="0"/>
                <w:szCs w:val="21"/>
              </w:rPr>
            </w:pPr>
            <w:r>
              <w:rPr>
                <w:rFonts w:ascii="Helvetica Neue" w:hAnsi="Helvetica Neue" w:cs="宋体"/>
                <w:color w:val="000000"/>
                <w:kern w:val="0"/>
                <w:szCs w:val="21"/>
              </w:rPr>
              <w:t>持续监控系统服务器环境，包括资源利用率、系统使用情况并</w:t>
            </w:r>
            <w:r>
              <w:rPr>
                <w:rFonts w:ascii="Helvetica Neue" w:hAnsi="Helvetica Neue" w:cs="宋体"/>
                <w:kern w:val="0"/>
                <w:szCs w:val="21"/>
              </w:rPr>
              <w:t>每季度</w:t>
            </w:r>
            <w:r>
              <w:rPr>
                <w:rFonts w:ascii="Helvetica Neue" w:hAnsi="Helvetica Neue" w:cs="宋体"/>
                <w:color w:val="000000"/>
                <w:kern w:val="0"/>
                <w:szCs w:val="21"/>
              </w:rPr>
              <w:t>生成运维服务报告。</w:t>
            </w:r>
          </w:p>
        </w:tc>
        <w:tc>
          <w:tcPr>
            <w:tcW w:w="50" w:type="dxa"/>
            <w:vAlign w:val="center"/>
          </w:tcPr>
          <w:p w14:paraId="259C161C">
            <w:pPr>
              <w:widowControl/>
              <w:jc w:val="left"/>
              <w:rPr>
                <w:rFonts w:eastAsia="Times New Roman"/>
                <w:kern w:val="0"/>
                <w:szCs w:val="21"/>
              </w:rPr>
            </w:pPr>
          </w:p>
        </w:tc>
      </w:tr>
    </w:tbl>
    <w:p w14:paraId="37AA3B69">
      <w:pPr>
        <w:pStyle w:val="20"/>
        <w:spacing w:line="360" w:lineRule="auto"/>
        <w:ind w:firstLineChars="0"/>
        <w:rPr>
          <w:rFonts w:ascii="宋体" w:hAnsi="宋体"/>
          <w:b/>
          <w:bCs/>
        </w:rPr>
      </w:pPr>
    </w:p>
    <w:p w14:paraId="7A7A8426">
      <w:pPr>
        <w:pStyle w:val="2"/>
      </w:pPr>
      <w:bookmarkStart w:id="2" w:name="_Toc200719626"/>
      <w:r>
        <w:t>2</w:t>
      </w:r>
      <w:r>
        <w:rPr>
          <w:rFonts w:hint="eastAsia"/>
        </w:rPr>
        <w:t>．</w:t>
      </w:r>
      <w:r>
        <w:t xml:space="preserve"> </w:t>
      </w:r>
      <w:r>
        <w:rPr>
          <w:rFonts w:hint="eastAsia"/>
        </w:rPr>
        <w:t>软件、硬件服务内容</w:t>
      </w:r>
      <w:bookmarkEnd w:id="2"/>
    </w:p>
    <w:p w14:paraId="0BB2F6C1">
      <w:pPr>
        <w:pStyle w:val="3"/>
      </w:pPr>
      <w:bookmarkStart w:id="3" w:name="_Toc200719627"/>
      <w:r>
        <w:t>2.1</w:t>
      </w:r>
      <w:r>
        <w:rPr>
          <w:rFonts w:hint="eastAsia"/>
        </w:rPr>
        <w:t>．</w:t>
      </w:r>
      <w:r>
        <w:t xml:space="preserve"> </w:t>
      </w:r>
      <w:r>
        <w:rPr>
          <w:rFonts w:hint="eastAsia"/>
        </w:rPr>
        <w:t>超融合、虚拟化管理软件</w:t>
      </w:r>
      <w:bookmarkEnd w:id="3"/>
    </w:p>
    <w:p w14:paraId="6749A71E">
      <w:pPr>
        <w:ind w:firstLine="422" w:firstLineChars="200"/>
        <w:rPr>
          <w:rFonts w:ascii="宋体" w:hAnsi="宋体"/>
          <w:b/>
          <w:bCs/>
        </w:rPr>
      </w:pPr>
      <w:r>
        <w:rPr>
          <w:rFonts w:hint="eastAsia" w:ascii="宋体" w:hAnsi="宋体"/>
          <w:b/>
          <w:bCs/>
        </w:rPr>
        <w:t>软件升级：</w:t>
      </w:r>
    </w:p>
    <w:p w14:paraId="0F67644F">
      <w:pPr>
        <w:ind w:left="420" w:firstLine="420" w:firstLineChars="200"/>
        <w:rPr>
          <w:rFonts w:hint="eastAsia" w:ascii="宋体" w:hAnsi="宋体"/>
        </w:rPr>
      </w:pPr>
      <w:r>
        <w:rPr>
          <w:rFonts w:hint="eastAsia" w:ascii="宋体" w:hAnsi="宋体"/>
        </w:rPr>
        <w:t>根据客户需求分别按各个产品升级方案对FusuionCompute、FusionCube、FusionStorage软件升级。</w:t>
      </w:r>
    </w:p>
    <w:p w14:paraId="0C7FDAE2">
      <w:pPr>
        <w:ind w:left="420" w:firstLine="420" w:firstLineChars="200"/>
        <w:rPr>
          <w:rFonts w:hint="eastAsia" w:ascii="宋体" w:hAnsi="宋体"/>
        </w:rPr>
      </w:pPr>
      <w:r>
        <w:rPr>
          <w:rFonts w:hint="eastAsia" w:ascii="宋体" w:hAnsi="宋体"/>
        </w:rPr>
        <w:t>FusionCube升级: 6.0.1.SPC100---&gt; 6.0.5.SPC103---&gt;8.1.5.SPC100---&gt;8.2.0.SPC200    共3跳</w:t>
      </w:r>
    </w:p>
    <w:p w14:paraId="1FFCBBB6">
      <w:pPr>
        <w:ind w:left="420" w:firstLine="420" w:firstLineChars="200"/>
        <w:rPr>
          <w:rFonts w:hint="eastAsia" w:ascii="宋体" w:hAnsi="宋体"/>
        </w:rPr>
      </w:pPr>
      <w:r>
        <w:rPr>
          <w:rFonts w:hint="eastAsia" w:ascii="宋体" w:hAnsi="宋体"/>
        </w:rPr>
        <w:t>FusionCompute升级: 8.0.0---&gt; 8.0.1---&gt;8.3.0---&gt;8.5.0.SPC100---&gt;8.6.0.SPC100 共4跳</w:t>
      </w:r>
    </w:p>
    <w:p w14:paraId="2E98F79F">
      <w:pPr>
        <w:ind w:left="420" w:firstLine="420" w:firstLineChars="200"/>
        <w:rPr>
          <w:rFonts w:ascii="宋体" w:hAnsi="宋体"/>
        </w:rPr>
      </w:pPr>
      <w:r>
        <w:rPr>
          <w:rFonts w:hint="eastAsia" w:ascii="宋体" w:hAnsi="宋体"/>
        </w:rPr>
        <w:t>FusionStorage升级: 8.0.1.SPC600---&gt;8.0.1.SPH635---&gt;8.1.5---&gt;8.2.0.SPH035  共3跳</w:t>
      </w:r>
    </w:p>
    <w:p w14:paraId="49556023">
      <w:pPr>
        <w:ind w:firstLine="420"/>
        <w:rPr>
          <w:rFonts w:ascii="宋体" w:hAnsi="宋体"/>
          <w:b/>
          <w:bCs/>
        </w:rPr>
      </w:pPr>
      <w:r>
        <w:rPr>
          <w:rFonts w:hint="eastAsia" w:ascii="宋体" w:hAnsi="宋体"/>
          <w:b/>
          <w:bCs/>
        </w:rPr>
        <w:t>风险控制：</w:t>
      </w:r>
    </w:p>
    <w:p w14:paraId="47D33C57">
      <w:pPr>
        <w:pStyle w:val="20"/>
        <w:spacing w:line="360" w:lineRule="auto"/>
        <w:ind w:left="424" w:leftChars="202" w:firstLine="141" w:firstLineChars="67"/>
        <w:rPr>
          <w:rFonts w:ascii="宋体" w:hAnsi="宋体"/>
        </w:rPr>
      </w:pPr>
      <w:r>
        <w:rPr>
          <w:rFonts w:ascii="宋体" w:hAnsi="宋体"/>
          <w:b/>
          <w:bCs/>
        </w:rPr>
        <w:tab/>
      </w:r>
      <w:r>
        <w:rPr>
          <w:rFonts w:hint="eastAsia" w:ascii="宋体" w:hAnsi="宋体"/>
        </w:rPr>
        <w:t>当出现升级失败时或相关业务有异常，需要执行回退操作恢复到初始版本状态。且不会影响老系统正常使用。</w:t>
      </w:r>
    </w:p>
    <w:p w14:paraId="0DBEC075">
      <w:pPr>
        <w:pStyle w:val="20"/>
        <w:spacing w:line="360" w:lineRule="auto"/>
        <w:ind w:left="420"/>
        <w:rPr>
          <w:rFonts w:ascii="宋体" w:hAnsi="宋体"/>
        </w:rPr>
      </w:pPr>
      <w:r>
        <w:rPr>
          <w:rFonts w:hint="eastAsia" w:ascii="宋体" w:hAnsi="宋体"/>
        </w:rPr>
        <w:t>回退操作：</w:t>
      </w:r>
    </w:p>
    <w:p w14:paraId="69E9FCBA">
      <w:pPr>
        <w:pStyle w:val="20"/>
        <w:numPr>
          <w:ilvl w:val="0"/>
          <w:numId w:val="1"/>
        </w:numPr>
        <w:spacing w:line="360" w:lineRule="auto"/>
        <w:ind w:firstLineChars="0"/>
        <w:rPr>
          <w:rFonts w:ascii="宋体" w:hAnsi="宋体"/>
        </w:rPr>
      </w:pPr>
      <w:r>
        <w:rPr>
          <w:rFonts w:hint="eastAsia" w:ascii="宋体" w:hAnsi="宋体"/>
        </w:rPr>
        <w:t>FusionCompute 回退</w:t>
      </w:r>
    </w:p>
    <w:p w14:paraId="50915C90">
      <w:pPr>
        <w:pStyle w:val="20"/>
        <w:spacing w:line="360" w:lineRule="auto"/>
        <w:ind w:left="840" w:leftChars="400"/>
        <w:rPr>
          <w:rFonts w:ascii="宋体" w:hAnsi="宋体"/>
        </w:rPr>
      </w:pPr>
      <w:r>
        <w:rPr>
          <w:rFonts w:hint="eastAsia" w:ascii="宋体" w:hAnsi="宋体"/>
        </w:rPr>
        <w:t>在MetaVision导航栏单击选择一键系统升级 进入一键系统升级界面勾选虚拟化组件单击回退 进行系统回退。</w:t>
      </w:r>
    </w:p>
    <w:p w14:paraId="7398D6DA">
      <w:pPr>
        <w:pStyle w:val="20"/>
        <w:numPr>
          <w:ilvl w:val="0"/>
          <w:numId w:val="1"/>
        </w:numPr>
        <w:spacing w:line="360" w:lineRule="auto"/>
        <w:ind w:firstLineChars="0"/>
        <w:rPr>
          <w:rFonts w:ascii="宋体" w:hAnsi="宋体"/>
        </w:rPr>
      </w:pPr>
      <w:r>
        <w:rPr>
          <w:rFonts w:hint="eastAsia" w:ascii="宋体" w:hAnsi="宋体"/>
        </w:rPr>
        <w:t>OceanStor Pacific 回退</w:t>
      </w:r>
    </w:p>
    <w:p w14:paraId="49776188">
      <w:pPr>
        <w:pStyle w:val="20"/>
        <w:spacing w:line="360" w:lineRule="auto"/>
        <w:ind w:left="840"/>
        <w:rPr>
          <w:rFonts w:ascii="宋体" w:hAnsi="宋体"/>
        </w:rPr>
      </w:pPr>
      <w:r>
        <w:rPr>
          <w:rFonts w:hint="eastAsia" w:ascii="宋体" w:hAnsi="宋体"/>
        </w:rPr>
        <w:t>在MetaVision导航栏单击选择一键系统升级 进入一键系统升级界面勾选分布式存储组件组件单击回退 进行系统回退。</w:t>
      </w:r>
    </w:p>
    <w:p w14:paraId="03E56D76">
      <w:pPr>
        <w:pStyle w:val="20"/>
        <w:spacing w:line="360" w:lineRule="auto"/>
        <w:ind w:left="420"/>
        <w:rPr>
          <w:rFonts w:ascii="宋体" w:hAnsi="宋体"/>
        </w:rPr>
      </w:pPr>
      <w:r>
        <w:rPr>
          <w:rFonts w:hint="eastAsia" w:ascii="宋体" w:hAnsi="宋体"/>
        </w:rPr>
        <w:t>当组件回退成功后，在业务观察阶段执行以下步骤：</w:t>
      </w:r>
    </w:p>
    <w:p w14:paraId="13A4ED2F">
      <w:pPr>
        <w:pStyle w:val="20"/>
        <w:numPr>
          <w:ilvl w:val="0"/>
          <w:numId w:val="1"/>
        </w:numPr>
        <w:spacing w:line="360" w:lineRule="auto"/>
        <w:ind w:firstLineChars="0"/>
        <w:rPr>
          <w:rFonts w:ascii="宋体" w:hAnsi="宋体"/>
        </w:rPr>
      </w:pPr>
      <w:r>
        <w:rPr>
          <w:rFonts w:hint="eastAsia" w:ascii="宋体" w:hAnsi="宋体"/>
        </w:rPr>
        <w:t>MetaVision 回退</w:t>
      </w:r>
    </w:p>
    <w:p w14:paraId="6499AFA1">
      <w:pPr>
        <w:pStyle w:val="20"/>
        <w:spacing w:line="360" w:lineRule="auto"/>
        <w:ind w:left="840"/>
        <w:rPr>
          <w:rFonts w:ascii="宋体" w:hAnsi="宋体"/>
        </w:rPr>
      </w:pPr>
      <w:r>
        <w:rPr>
          <w:rFonts w:hint="eastAsia" w:ascii="宋体" w:hAnsi="宋体"/>
        </w:rPr>
        <w:t>在MetaVision导航栏单击选择一键系统升级 进入一键系统升级界面单击回退 进行系统回退。</w:t>
      </w:r>
    </w:p>
    <w:p w14:paraId="0314D56D">
      <w:pPr>
        <w:pStyle w:val="20"/>
        <w:spacing w:line="360" w:lineRule="auto"/>
        <w:ind w:firstLineChars="0"/>
        <w:rPr>
          <w:rFonts w:ascii="宋体" w:hAnsi="宋体"/>
          <w:b/>
          <w:bCs/>
        </w:rPr>
      </w:pPr>
      <w:r>
        <w:rPr>
          <w:rFonts w:hint="eastAsia" w:ascii="宋体" w:hAnsi="宋体"/>
          <w:b/>
          <w:bCs/>
        </w:rPr>
        <w:t>验收标准：</w:t>
      </w:r>
    </w:p>
    <w:p w14:paraId="0F2B4C5F">
      <w:pPr>
        <w:pStyle w:val="20"/>
        <w:spacing w:line="360" w:lineRule="auto"/>
        <w:ind w:left="420" w:firstLineChars="0"/>
        <w:rPr>
          <w:rFonts w:ascii="宋体" w:hAnsi="宋体"/>
        </w:rPr>
      </w:pPr>
      <w:r>
        <w:rPr>
          <w:rFonts w:hint="eastAsia" w:ascii="宋体" w:hAnsi="宋体"/>
        </w:rPr>
        <w:t>升级后系统运行稳定，无重大系统问题。</w:t>
      </w:r>
    </w:p>
    <w:p w14:paraId="62B10EEC">
      <w:pPr>
        <w:pStyle w:val="20"/>
        <w:spacing w:line="360" w:lineRule="auto"/>
        <w:ind w:firstLineChars="0"/>
        <w:rPr>
          <w:rFonts w:ascii="宋体" w:hAnsi="宋体"/>
          <w:b/>
          <w:bCs/>
        </w:rPr>
      </w:pPr>
      <w:r>
        <w:rPr>
          <w:rFonts w:hint="eastAsia" w:ascii="宋体" w:hAnsi="宋体"/>
          <w:b/>
          <w:bCs/>
        </w:rPr>
        <w:t>维保服务：</w:t>
      </w:r>
    </w:p>
    <w:p w14:paraId="3CF56D6E">
      <w:pPr>
        <w:pStyle w:val="20"/>
        <w:spacing w:line="360" w:lineRule="auto"/>
        <w:ind w:left="420" w:firstLineChars="0"/>
        <w:rPr>
          <w:rFonts w:ascii="宋体" w:hAnsi="宋体"/>
        </w:rPr>
      </w:pPr>
      <w:r>
        <w:rPr>
          <w:rFonts w:hint="eastAsia" w:ascii="宋体" w:hAnsi="宋体"/>
        </w:rPr>
        <w:t>升级完成后的同一资源池超融合软件更新最新版license时间，包含【</w:t>
      </w:r>
      <w:r>
        <w:rPr>
          <w:rFonts w:ascii="宋体" w:hAnsi="宋体"/>
        </w:rPr>
        <w:t>1</w:t>
      </w:r>
      <w:r>
        <w:rPr>
          <w:rFonts w:hint="eastAsia" w:ascii="宋体" w:hAnsi="宋体"/>
        </w:rPr>
        <w:t>】年维保服务，升级后1</w:t>
      </w:r>
      <w:r>
        <w:rPr>
          <w:rFonts w:ascii="宋体" w:hAnsi="宋体"/>
        </w:rPr>
        <w:t>5</w:t>
      </w:r>
      <w:r>
        <w:rPr>
          <w:rFonts w:hint="eastAsia" w:ascii="宋体" w:hAnsi="宋体"/>
        </w:rPr>
        <w:t>个工作日内在官网可查。</w:t>
      </w:r>
    </w:p>
    <w:p w14:paraId="000315CB">
      <w:pPr>
        <w:pStyle w:val="3"/>
      </w:pPr>
      <w:bookmarkStart w:id="4" w:name="_Toc200719628"/>
      <w:r>
        <w:t>2.2</w:t>
      </w:r>
      <w:r>
        <w:rPr>
          <w:rFonts w:hint="eastAsia"/>
        </w:rPr>
        <w:t>．</w:t>
      </w:r>
      <w:r>
        <w:t xml:space="preserve"> </w:t>
      </w:r>
      <w:r>
        <w:rPr>
          <w:rFonts w:hint="eastAsia"/>
        </w:rPr>
        <w:t>大数据服务器</w:t>
      </w:r>
      <w:bookmarkEnd w:id="4"/>
    </w:p>
    <w:p w14:paraId="2D57F5C2">
      <w:pPr>
        <w:pStyle w:val="20"/>
        <w:spacing w:line="360" w:lineRule="auto"/>
        <w:ind w:firstLineChars="0"/>
        <w:rPr>
          <w:rFonts w:ascii="宋体" w:hAnsi="宋体"/>
          <w:b/>
          <w:bCs/>
        </w:rPr>
      </w:pPr>
      <w:r>
        <w:rPr>
          <w:rFonts w:hint="eastAsia" w:ascii="宋体" w:hAnsi="宋体"/>
          <w:b/>
          <w:bCs/>
        </w:rPr>
        <w:t>硬件清单如下：</w:t>
      </w:r>
    </w:p>
    <w:tbl>
      <w:tblPr>
        <w:tblStyle w:val="11"/>
        <w:tblW w:w="8359" w:type="dxa"/>
        <w:tblInd w:w="0" w:type="dxa"/>
        <w:tblLayout w:type="autofit"/>
        <w:tblCellMar>
          <w:top w:w="0" w:type="dxa"/>
          <w:left w:w="108" w:type="dxa"/>
          <w:bottom w:w="0" w:type="dxa"/>
          <w:right w:w="108" w:type="dxa"/>
        </w:tblCellMar>
      </w:tblPr>
      <w:tblGrid>
        <w:gridCol w:w="1555"/>
        <w:gridCol w:w="2126"/>
        <w:gridCol w:w="2977"/>
        <w:gridCol w:w="1701"/>
      </w:tblGrid>
      <w:tr w14:paraId="2381667E">
        <w:tblPrEx>
          <w:tblCellMar>
            <w:top w:w="0" w:type="dxa"/>
            <w:left w:w="108" w:type="dxa"/>
            <w:bottom w:w="0" w:type="dxa"/>
            <w:right w:w="108" w:type="dxa"/>
          </w:tblCellMar>
        </w:tblPrEx>
        <w:trPr>
          <w:trHeight w:val="285" w:hRule="atLeast"/>
        </w:trPr>
        <w:tc>
          <w:tcPr>
            <w:tcW w:w="1555" w:type="dxa"/>
            <w:tcBorders>
              <w:top w:val="single" w:color="auto" w:sz="4" w:space="0"/>
              <w:left w:val="single" w:color="auto" w:sz="4" w:space="0"/>
              <w:bottom w:val="single" w:color="auto" w:sz="4" w:space="0"/>
              <w:right w:val="single" w:color="auto" w:sz="4" w:space="0"/>
            </w:tcBorders>
            <w:shd w:val="clear" w:color="000000" w:fill="E7E6E6"/>
            <w:vAlign w:val="center"/>
          </w:tcPr>
          <w:p w14:paraId="38E997FC">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类别</w:t>
            </w:r>
          </w:p>
        </w:tc>
        <w:tc>
          <w:tcPr>
            <w:tcW w:w="2126" w:type="dxa"/>
            <w:tcBorders>
              <w:top w:val="single" w:color="auto" w:sz="4" w:space="0"/>
              <w:left w:val="nil"/>
              <w:bottom w:val="single" w:color="auto" w:sz="4" w:space="0"/>
              <w:right w:val="single" w:color="auto" w:sz="4" w:space="0"/>
            </w:tcBorders>
            <w:shd w:val="clear" w:color="000000" w:fill="E7E6E6"/>
            <w:vAlign w:val="center"/>
          </w:tcPr>
          <w:p w14:paraId="74786FEB">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型号</w:t>
            </w:r>
          </w:p>
        </w:tc>
        <w:tc>
          <w:tcPr>
            <w:tcW w:w="2977" w:type="dxa"/>
            <w:tcBorders>
              <w:top w:val="single" w:color="auto" w:sz="4" w:space="0"/>
              <w:left w:val="nil"/>
              <w:bottom w:val="single" w:color="auto" w:sz="4" w:space="0"/>
              <w:right w:val="single" w:color="auto" w:sz="4" w:space="0"/>
            </w:tcBorders>
            <w:shd w:val="clear" w:color="000000" w:fill="E7E6E6"/>
            <w:vAlign w:val="center"/>
          </w:tcPr>
          <w:p w14:paraId="4B6A6E40">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参数或序列号</w:t>
            </w:r>
          </w:p>
        </w:tc>
        <w:tc>
          <w:tcPr>
            <w:tcW w:w="1701" w:type="dxa"/>
            <w:tcBorders>
              <w:top w:val="single" w:color="auto" w:sz="4" w:space="0"/>
              <w:left w:val="nil"/>
              <w:bottom w:val="single" w:color="auto" w:sz="4" w:space="0"/>
              <w:right w:val="single" w:color="auto" w:sz="4" w:space="0"/>
            </w:tcBorders>
            <w:shd w:val="clear" w:color="000000" w:fill="E7E6E6"/>
            <w:vAlign w:val="center"/>
          </w:tcPr>
          <w:p w14:paraId="4D146C09">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数量及单位</w:t>
            </w:r>
          </w:p>
        </w:tc>
      </w:tr>
      <w:tr w14:paraId="64E053AF">
        <w:tblPrEx>
          <w:tblCellMar>
            <w:top w:w="0" w:type="dxa"/>
            <w:left w:w="108" w:type="dxa"/>
            <w:bottom w:w="0" w:type="dxa"/>
            <w:right w:w="108" w:type="dxa"/>
          </w:tblCellMar>
        </w:tblPrEx>
        <w:trPr>
          <w:trHeight w:val="285" w:hRule="atLeast"/>
        </w:trPr>
        <w:tc>
          <w:tcPr>
            <w:tcW w:w="1555" w:type="dxa"/>
            <w:vMerge w:val="restart"/>
            <w:tcBorders>
              <w:top w:val="nil"/>
              <w:left w:val="single" w:color="auto" w:sz="4" w:space="0"/>
              <w:bottom w:val="single" w:color="auto" w:sz="4" w:space="0"/>
              <w:right w:val="single" w:color="auto" w:sz="4" w:space="0"/>
            </w:tcBorders>
            <w:shd w:val="clear" w:color="auto" w:fill="auto"/>
            <w:vAlign w:val="center"/>
          </w:tcPr>
          <w:p w14:paraId="3645C5B8">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大数据服务器</w:t>
            </w:r>
          </w:p>
        </w:tc>
        <w:tc>
          <w:tcPr>
            <w:tcW w:w="2126" w:type="dxa"/>
            <w:tcBorders>
              <w:top w:val="nil"/>
              <w:left w:val="nil"/>
              <w:bottom w:val="single" w:color="auto" w:sz="4" w:space="0"/>
              <w:right w:val="single" w:color="auto" w:sz="4" w:space="0"/>
            </w:tcBorders>
            <w:shd w:val="clear" w:color="auto" w:fill="auto"/>
            <w:vAlign w:val="center"/>
          </w:tcPr>
          <w:p w14:paraId="2DBEE46F">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华为2288H  V5</w:t>
            </w:r>
          </w:p>
        </w:tc>
        <w:tc>
          <w:tcPr>
            <w:tcW w:w="2977" w:type="dxa"/>
            <w:tcBorders>
              <w:top w:val="nil"/>
              <w:left w:val="nil"/>
              <w:bottom w:val="single" w:color="auto" w:sz="4" w:space="0"/>
              <w:right w:val="single" w:color="auto" w:sz="4" w:space="0"/>
            </w:tcBorders>
            <w:shd w:val="clear" w:color="auto" w:fill="auto"/>
            <w:vAlign w:val="center"/>
          </w:tcPr>
          <w:p w14:paraId="0F4E3FD5">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2106180296X2MC000003</w:t>
            </w:r>
          </w:p>
        </w:tc>
        <w:tc>
          <w:tcPr>
            <w:tcW w:w="1701" w:type="dxa"/>
            <w:tcBorders>
              <w:top w:val="nil"/>
              <w:left w:val="nil"/>
              <w:bottom w:val="single" w:color="auto" w:sz="4" w:space="0"/>
              <w:right w:val="single" w:color="auto" w:sz="4" w:space="0"/>
            </w:tcBorders>
            <w:shd w:val="clear" w:color="auto" w:fill="auto"/>
            <w:vAlign w:val="center"/>
          </w:tcPr>
          <w:p w14:paraId="47F3891F">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1台</w:t>
            </w:r>
          </w:p>
        </w:tc>
      </w:tr>
      <w:tr w14:paraId="29C0759E">
        <w:tblPrEx>
          <w:tblCellMar>
            <w:top w:w="0" w:type="dxa"/>
            <w:left w:w="108" w:type="dxa"/>
            <w:bottom w:w="0" w:type="dxa"/>
            <w:right w:w="108" w:type="dxa"/>
          </w:tblCellMar>
        </w:tblPrEx>
        <w:trPr>
          <w:trHeight w:val="285" w:hRule="atLeast"/>
        </w:trPr>
        <w:tc>
          <w:tcPr>
            <w:tcW w:w="1555" w:type="dxa"/>
            <w:vMerge w:val="continue"/>
            <w:tcBorders>
              <w:top w:val="nil"/>
              <w:left w:val="single" w:color="auto" w:sz="4" w:space="0"/>
              <w:bottom w:val="single" w:color="auto" w:sz="4" w:space="0"/>
              <w:right w:val="single" w:color="auto" w:sz="4" w:space="0"/>
            </w:tcBorders>
            <w:vAlign w:val="center"/>
          </w:tcPr>
          <w:p w14:paraId="0CF75039">
            <w:pPr>
              <w:widowControl/>
              <w:jc w:val="left"/>
              <w:rPr>
                <w:rFonts w:ascii="等线" w:hAnsi="等线" w:eastAsia="等线"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vAlign w:val="center"/>
          </w:tcPr>
          <w:p w14:paraId="06CD408D">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华为2288H  V5</w:t>
            </w:r>
          </w:p>
        </w:tc>
        <w:tc>
          <w:tcPr>
            <w:tcW w:w="2977" w:type="dxa"/>
            <w:tcBorders>
              <w:top w:val="nil"/>
              <w:left w:val="nil"/>
              <w:bottom w:val="single" w:color="auto" w:sz="4" w:space="0"/>
              <w:right w:val="single" w:color="auto" w:sz="4" w:space="0"/>
            </w:tcBorders>
            <w:shd w:val="clear" w:color="auto" w:fill="auto"/>
            <w:vAlign w:val="center"/>
          </w:tcPr>
          <w:p w14:paraId="0B320A49">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2106180296X2MC000008</w:t>
            </w:r>
          </w:p>
        </w:tc>
        <w:tc>
          <w:tcPr>
            <w:tcW w:w="1701" w:type="dxa"/>
            <w:tcBorders>
              <w:top w:val="nil"/>
              <w:left w:val="nil"/>
              <w:bottom w:val="single" w:color="auto" w:sz="4" w:space="0"/>
              <w:right w:val="single" w:color="auto" w:sz="4" w:space="0"/>
            </w:tcBorders>
            <w:shd w:val="clear" w:color="auto" w:fill="auto"/>
            <w:vAlign w:val="center"/>
          </w:tcPr>
          <w:p w14:paraId="19C15AA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1台</w:t>
            </w:r>
          </w:p>
        </w:tc>
      </w:tr>
      <w:tr w14:paraId="7C6C38C6">
        <w:tblPrEx>
          <w:tblCellMar>
            <w:top w:w="0" w:type="dxa"/>
            <w:left w:w="108" w:type="dxa"/>
            <w:bottom w:w="0" w:type="dxa"/>
            <w:right w:w="108" w:type="dxa"/>
          </w:tblCellMar>
        </w:tblPrEx>
        <w:trPr>
          <w:trHeight w:val="285" w:hRule="atLeast"/>
        </w:trPr>
        <w:tc>
          <w:tcPr>
            <w:tcW w:w="1555" w:type="dxa"/>
            <w:vMerge w:val="continue"/>
            <w:tcBorders>
              <w:top w:val="nil"/>
              <w:left w:val="single" w:color="auto" w:sz="4" w:space="0"/>
              <w:bottom w:val="single" w:color="auto" w:sz="4" w:space="0"/>
              <w:right w:val="single" w:color="auto" w:sz="4" w:space="0"/>
            </w:tcBorders>
            <w:vAlign w:val="center"/>
          </w:tcPr>
          <w:p w14:paraId="576CEEE9">
            <w:pPr>
              <w:widowControl/>
              <w:jc w:val="left"/>
              <w:rPr>
                <w:rFonts w:ascii="等线" w:hAnsi="等线" w:eastAsia="等线"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vAlign w:val="center"/>
          </w:tcPr>
          <w:p w14:paraId="0916498C">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华为2288H  V5</w:t>
            </w:r>
          </w:p>
        </w:tc>
        <w:tc>
          <w:tcPr>
            <w:tcW w:w="2977" w:type="dxa"/>
            <w:tcBorders>
              <w:top w:val="nil"/>
              <w:left w:val="nil"/>
              <w:bottom w:val="single" w:color="auto" w:sz="4" w:space="0"/>
              <w:right w:val="single" w:color="auto" w:sz="4" w:space="0"/>
            </w:tcBorders>
            <w:shd w:val="clear" w:color="auto" w:fill="auto"/>
            <w:vAlign w:val="center"/>
          </w:tcPr>
          <w:p w14:paraId="37103EBA">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2106180296X2MC000011</w:t>
            </w:r>
          </w:p>
        </w:tc>
        <w:tc>
          <w:tcPr>
            <w:tcW w:w="1701" w:type="dxa"/>
            <w:tcBorders>
              <w:top w:val="nil"/>
              <w:left w:val="nil"/>
              <w:bottom w:val="single" w:color="auto" w:sz="4" w:space="0"/>
              <w:right w:val="single" w:color="auto" w:sz="4" w:space="0"/>
            </w:tcBorders>
            <w:shd w:val="clear" w:color="auto" w:fill="auto"/>
            <w:vAlign w:val="center"/>
          </w:tcPr>
          <w:p w14:paraId="05432843">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1台</w:t>
            </w:r>
          </w:p>
        </w:tc>
      </w:tr>
    </w:tbl>
    <w:p w14:paraId="012CBFB3">
      <w:pPr>
        <w:pStyle w:val="20"/>
        <w:spacing w:line="360" w:lineRule="auto"/>
        <w:ind w:firstLineChars="0"/>
        <w:rPr>
          <w:rFonts w:ascii="宋体" w:hAnsi="宋体"/>
          <w:b/>
          <w:bCs/>
        </w:rPr>
      </w:pPr>
      <w:r>
        <w:rPr>
          <w:rFonts w:hint="eastAsia" w:ascii="宋体" w:hAnsi="宋体"/>
          <w:b/>
          <w:bCs/>
        </w:rPr>
        <w:t>维保服务：</w:t>
      </w:r>
    </w:p>
    <w:p w14:paraId="33E391E6">
      <w:pPr>
        <w:pStyle w:val="20"/>
        <w:spacing w:line="360" w:lineRule="auto"/>
        <w:ind w:firstLineChars="0"/>
        <w:rPr>
          <w:rFonts w:ascii="宋体" w:hAnsi="宋体"/>
        </w:rPr>
      </w:pPr>
      <w:r>
        <w:rPr>
          <w:rFonts w:hint="eastAsia" w:ascii="宋体" w:hAnsi="宋体"/>
        </w:rPr>
        <w:t>提供【1】年的硬件维护支持，包括机头、CPU、内存、硬盘、电源的维护支持。</w:t>
      </w:r>
    </w:p>
    <w:p w14:paraId="06ED325F">
      <w:pPr>
        <w:pStyle w:val="3"/>
      </w:pPr>
      <w:bookmarkStart w:id="5" w:name="_Toc200719629"/>
      <w:r>
        <w:rPr>
          <w:rFonts w:hint="eastAsia"/>
        </w:rPr>
        <w:t>2</w:t>
      </w:r>
      <w:r>
        <w:t>.3</w:t>
      </w:r>
      <w:r>
        <w:rPr>
          <w:rFonts w:hint="eastAsia"/>
        </w:rPr>
        <w:t>．</w:t>
      </w:r>
      <w:r>
        <w:t xml:space="preserve"> </w:t>
      </w:r>
      <w:r>
        <w:rPr>
          <w:rFonts w:hint="eastAsia"/>
        </w:rPr>
        <w:t>超融合服务器</w:t>
      </w:r>
      <w:bookmarkEnd w:id="5"/>
    </w:p>
    <w:p w14:paraId="19B0F718">
      <w:pPr>
        <w:pStyle w:val="20"/>
        <w:spacing w:line="360" w:lineRule="auto"/>
        <w:ind w:firstLineChars="0"/>
        <w:rPr>
          <w:rFonts w:ascii="宋体" w:hAnsi="宋体"/>
          <w:b/>
          <w:bCs/>
        </w:rPr>
      </w:pPr>
      <w:r>
        <w:rPr>
          <w:rFonts w:hint="eastAsia" w:ascii="宋体" w:hAnsi="宋体"/>
          <w:b/>
          <w:bCs/>
        </w:rPr>
        <w:t>续保硬件清单如下：</w:t>
      </w:r>
    </w:p>
    <w:tbl>
      <w:tblPr>
        <w:tblStyle w:val="11"/>
        <w:tblW w:w="8359" w:type="dxa"/>
        <w:tblInd w:w="0" w:type="dxa"/>
        <w:tblLayout w:type="autofit"/>
        <w:tblCellMar>
          <w:top w:w="0" w:type="dxa"/>
          <w:left w:w="108" w:type="dxa"/>
          <w:bottom w:w="0" w:type="dxa"/>
          <w:right w:w="108" w:type="dxa"/>
        </w:tblCellMar>
      </w:tblPr>
      <w:tblGrid>
        <w:gridCol w:w="1696"/>
        <w:gridCol w:w="1985"/>
        <w:gridCol w:w="2977"/>
        <w:gridCol w:w="1701"/>
      </w:tblGrid>
      <w:tr w14:paraId="4C908053">
        <w:tblPrEx>
          <w:tblCellMar>
            <w:top w:w="0" w:type="dxa"/>
            <w:left w:w="108" w:type="dxa"/>
            <w:bottom w:w="0" w:type="dxa"/>
            <w:right w:w="108" w:type="dxa"/>
          </w:tblCellMar>
        </w:tblPrEx>
        <w:trPr>
          <w:trHeight w:val="285" w:hRule="atLeast"/>
        </w:trPr>
        <w:tc>
          <w:tcPr>
            <w:tcW w:w="1696" w:type="dxa"/>
            <w:tcBorders>
              <w:top w:val="single" w:color="auto" w:sz="4" w:space="0"/>
              <w:left w:val="single" w:color="auto" w:sz="4" w:space="0"/>
              <w:bottom w:val="single" w:color="auto" w:sz="4" w:space="0"/>
              <w:right w:val="single" w:color="auto" w:sz="4" w:space="0"/>
            </w:tcBorders>
            <w:shd w:val="clear" w:color="000000" w:fill="E7E6E6"/>
            <w:vAlign w:val="center"/>
          </w:tcPr>
          <w:p w14:paraId="116845FC">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类别</w:t>
            </w:r>
          </w:p>
        </w:tc>
        <w:tc>
          <w:tcPr>
            <w:tcW w:w="1985" w:type="dxa"/>
            <w:tcBorders>
              <w:top w:val="single" w:color="auto" w:sz="4" w:space="0"/>
              <w:left w:val="nil"/>
              <w:bottom w:val="single" w:color="auto" w:sz="4" w:space="0"/>
              <w:right w:val="single" w:color="auto" w:sz="4" w:space="0"/>
            </w:tcBorders>
            <w:shd w:val="clear" w:color="000000" w:fill="E7E6E6"/>
            <w:vAlign w:val="center"/>
          </w:tcPr>
          <w:p w14:paraId="68519881">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型号</w:t>
            </w:r>
          </w:p>
        </w:tc>
        <w:tc>
          <w:tcPr>
            <w:tcW w:w="2977" w:type="dxa"/>
            <w:tcBorders>
              <w:top w:val="single" w:color="auto" w:sz="4" w:space="0"/>
              <w:left w:val="nil"/>
              <w:bottom w:val="single" w:color="auto" w:sz="4" w:space="0"/>
              <w:right w:val="single" w:color="auto" w:sz="4" w:space="0"/>
            </w:tcBorders>
            <w:shd w:val="clear" w:color="000000" w:fill="E7E6E6"/>
            <w:vAlign w:val="center"/>
          </w:tcPr>
          <w:p w14:paraId="1D548367">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参数或序列号</w:t>
            </w:r>
          </w:p>
        </w:tc>
        <w:tc>
          <w:tcPr>
            <w:tcW w:w="1701" w:type="dxa"/>
            <w:tcBorders>
              <w:top w:val="single" w:color="auto" w:sz="4" w:space="0"/>
              <w:left w:val="nil"/>
              <w:bottom w:val="single" w:color="auto" w:sz="4" w:space="0"/>
              <w:right w:val="single" w:color="auto" w:sz="4" w:space="0"/>
            </w:tcBorders>
            <w:shd w:val="clear" w:color="000000" w:fill="E7E6E6"/>
            <w:vAlign w:val="center"/>
          </w:tcPr>
          <w:p w14:paraId="4E41C788">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数量及单位</w:t>
            </w:r>
          </w:p>
        </w:tc>
      </w:tr>
      <w:tr w14:paraId="70744B3C">
        <w:tblPrEx>
          <w:tblCellMar>
            <w:top w:w="0" w:type="dxa"/>
            <w:left w:w="108" w:type="dxa"/>
            <w:bottom w:w="0" w:type="dxa"/>
            <w:right w:w="108" w:type="dxa"/>
          </w:tblCellMar>
        </w:tblPrEx>
        <w:trPr>
          <w:trHeight w:val="285" w:hRule="atLeast"/>
        </w:trPr>
        <w:tc>
          <w:tcPr>
            <w:tcW w:w="1696" w:type="dxa"/>
            <w:vMerge w:val="restart"/>
            <w:tcBorders>
              <w:top w:val="nil"/>
              <w:left w:val="single" w:color="auto" w:sz="4" w:space="0"/>
              <w:bottom w:val="single" w:color="auto" w:sz="4" w:space="0"/>
              <w:right w:val="single" w:color="auto" w:sz="4" w:space="0"/>
            </w:tcBorders>
            <w:shd w:val="clear" w:color="auto" w:fill="auto"/>
            <w:vAlign w:val="center"/>
          </w:tcPr>
          <w:p w14:paraId="2453F70B">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超融合服务器</w:t>
            </w:r>
          </w:p>
        </w:tc>
        <w:tc>
          <w:tcPr>
            <w:tcW w:w="1985" w:type="dxa"/>
            <w:tcBorders>
              <w:top w:val="nil"/>
              <w:left w:val="nil"/>
              <w:bottom w:val="single" w:color="auto" w:sz="4" w:space="0"/>
              <w:right w:val="single" w:color="auto" w:sz="4" w:space="0"/>
            </w:tcBorders>
            <w:shd w:val="clear" w:color="auto" w:fill="auto"/>
            <w:vAlign w:val="center"/>
          </w:tcPr>
          <w:p w14:paraId="443926A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华为2288H  V5</w:t>
            </w:r>
          </w:p>
        </w:tc>
        <w:tc>
          <w:tcPr>
            <w:tcW w:w="2977" w:type="dxa"/>
            <w:tcBorders>
              <w:top w:val="nil"/>
              <w:left w:val="nil"/>
              <w:bottom w:val="single" w:color="auto" w:sz="4" w:space="0"/>
              <w:right w:val="single" w:color="auto" w:sz="4" w:space="0"/>
            </w:tcBorders>
            <w:shd w:val="clear" w:color="auto" w:fill="auto"/>
            <w:vAlign w:val="center"/>
          </w:tcPr>
          <w:p w14:paraId="5F8DB833">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2102313XNQP0MB200018</w:t>
            </w:r>
          </w:p>
        </w:tc>
        <w:tc>
          <w:tcPr>
            <w:tcW w:w="1701" w:type="dxa"/>
            <w:tcBorders>
              <w:top w:val="nil"/>
              <w:left w:val="nil"/>
              <w:bottom w:val="single" w:color="auto" w:sz="4" w:space="0"/>
              <w:right w:val="single" w:color="auto" w:sz="4" w:space="0"/>
            </w:tcBorders>
            <w:shd w:val="clear" w:color="auto" w:fill="auto"/>
            <w:vAlign w:val="center"/>
          </w:tcPr>
          <w:p w14:paraId="5AE0784F">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6B0E7DCC">
        <w:tblPrEx>
          <w:tblCellMar>
            <w:top w:w="0" w:type="dxa"/>
            <w:left w:w="108" w:type="dxa"/>
            <w:bottom w:w="0" w:type="dxa"/>
            <w:right w:w="108" w:type="dxa"/>
          </w:tblCellMar>
        </w:tblPrEx>
        <w:trPr>
          <w:trHeight w:val="285" w:hRule="atLeast"/>
        </w:trPr>
        <w:tc>
          <w:tcPr>
            <w:tcW w:w="1696" w:type="dxa"/>
            <w:vMerge w:val="continue"/>
            <w:tcBorders>
              <w:top w:val="nil"/>
              <w:left w:val="single" w:color="auto" w:sz="4" w:space="0"/>
              <w:bottom w:val="single" w:color="auto" w:sz="4" w:space="0"/>
              <w:right w:val="single" w:color="auto" w:sz="4" w:space="0"/>
            </w:tcBorders>
            <w:vAlign w:val="center"/>
          </w:tcPr>
          <w:p w14:paraId="38772326">
            <w:pPr>
              <w:widowControl/>
              <w:jc w:val="left"/>
              <w:rPr>
                <w:rFonts w:ascii="等线" w:hAnsi="等线" w:eastAsia="等线" w:cs="宋体"/>
                <w:color w:val="000000"/>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14:paraId="4D8C477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华为2288H  V5</w:t>
            </w:r>
          </w:p>
        </w:tc>
        <w:tc>
          <w:tcPr>
            <w:tcW w:w="2977" w:type="dxa"/>
            <w:tcBorders>
              <w:top w:val="nil"/>
              <w:left w:val="nil"/>
              <w:bottom w:val="single" w:color="auto" w:sz="4" w:space="0"/>
              <w:right w:val="single" w:color="auto" w:sz="4" w:space="0"/>
            </w:tcBorders>
            <w:shd w:val="clear" w:color="auto" w:fill="auto"/>
            <w:vAlign w:val="center"/>
          </w:tcPr>
          <w:p w14:paraId="199D7D57">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2102313XNQP0MB200041</w:t>
            </w:r>
          </w:p>
        </w:tc>
        <w:tc>
          <w:tcPr>
            <w:tcW w:w="1701" w:type="dxa"/>
            <w:tcBorders>
              <w:top w:val="nil"/>
              <w:left w:val="nil"/>
              <w:bottom w:val="single" w:color="auto" w:sz="4" w:space="0"/>
              <w:right w:val="single" w:color="auto" w:sz="4" w:space="0"/>
            </w:tcBorders>
            <w:shd w:val="clear" w:color="auto" w:fill="auto"/>
            <w:vAlign w:val="center"/>
          </w:tcPr>
          <w:p w14:paraId="49DE2A6D">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4C646933">
        <w:tblPrEx>
          <w:tblCellMar>
            <w:top w:w="0" w:type="dxa"/>
            <w:left w:w="108" w:type="dxa"/>
            <w:bottom w:w="0" w:type="dxa"/>
            <w:right w:w="108" w:type="dxa"/>
          </w:tblCellMar>
        </w:tblPrEx>
        <w:trPr>
          <w:trHeight w:val="285" w:hRule="atLeast"/>
        </w:trPr>
        <w:tc>
          <w:tcPr>
            <w:tcW w:w="1696" w:type="dxa"/>
            <w:vMerge w:val="continue"/>
            <w:tcBorders>
              <w:top w:val="nil"/>
              <w:left w:val="single" w:color="auto" w:sz="4" w:space="0"/>
              <w:bottom w:val="single" w:color="auto" w:sz="4" w:space="0"/>
              <w:right w:val="single" w:color="auto" w:sz="4" w:space="0"/>
            </w:tcBorders>
            <w:vAlign w:val="center"/>
          </w:tcPr>
          <w:p w14:paraId="25FCF206">
            <w:pPr>
              <w:widowControl/>
              <w:jc w:val="left"/>
              <w:rPr>
                <w:rFonts w:ascii="等线" w:hAnsi="等线" w:eastAsia="等线" w:cs="宋体"/>
                <w:color w:val="000000"/>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14:paraId="73DD8DD8">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华为2288H  V5</w:t>
            </w:r>
          </w:p>
        </w:tc>
        <w:tc>
          <w:tcPr>
            <w:tcW w:w="2977" w:type="dxa"/>
            <w:tcBorders>
              <w:top w:val="nil"/>
              <w:left w:val="nil"/>
              <w:bottom w:val="single" w:color="auto" w:sz="4" w:space="0"/>
              <w:right w:val="single" w:color="auto" w:sz="4" w:space="0"/>
            </w:tcBorders>
            <w:shd w:val="clear" w:color="auto" w:fill="auto"/>
            <w:vAlign w:val="center"/>
          </w:tcPr>
          <w:p w14:paraId="1597841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2102313XNQP0MB200107</w:t>
            </w:r>
          </w:p>
        </w:tc>
        <w:tc>
          <w:tcPr>
            <w:tcW w:w="1701" w:type="dxa"/>
            <w:tcBorders>
              <w:top w:val="nil"/>
              <w:left w:val="nil"/>
              <w:bottom w:val="single" w:color="auto" w:sz="4" w:space="0"/>
              <w:right w:val="single" w:color="auto" w:sz="4" w:space="0"/>
            </w:tcBorders>
            <w:shd w:val="clear" w:color="auto" w:fill="auto"/>
            <w:vAlign w:val="center"/>
          </w:tcPr>
          <w:p w14:paraId="70B4350F">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45A07481">
        <w:tblPrEx>
          <w:tblCellMar>
            <w:top w:w="0" w:type="dxa"/>
            <w:left w:w="108" w:type="dxa"/>
            <w:bottom w:w="0" w:type="dxa"/>
            <w:right w:w="108" w:type="dxa"/>
          </w:tblCellMar>
        </w:tblPrEx>
        <w:trPr>
          <w:trHeight w:val="285" w:hRule="atLeast"/>
        </w:trPr>
        <w:tc>
          <w:tcPr>
            <w:tcW w:w="1696" w:type="dxa"/>
            <w:vMerge w:val="continue"/>
            <w:tcBorders>
              <w:top w:val="nil"/>
              <w:left w:val="single" w:color="auto" w:sz="4" w:space="0"/>
              <w:bottom w:val="single" w:color="auto" w:sz="4" w:space="0"/>
              <w:right w:val="single" w:color="auto" w:sz="4" w:space="0"/>
            </w:tcBorders>
            <w:vAlign w:val="center"/>
          </w:tcPr>
          <w:p w14:paraId="4324A0F8">
            <w:pPr>
              <w:widowControl/>
              <w:jc w:val="left"/>
              <w:rPr>
                <w:rFonts w:ascii="等线" w:hAnsi="等线" w:eastAsia="等线" w:cs="宋体"/>
                <w:color w:val="000000"/>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14:paraId="6F4022F5">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华为2288H  V5</w:t>
            </w:r>
          </w:p>
        </w:tc>
        <w:tc>
          <w:tcPr>
            <w:tcW w:w="2977" w:type="dxa"/>
            <w:tcBorders>
              <w:top w:val="nil"/>
              <w:left w:val="nil"/>
              <w:bottom w:val="single" w:color="auto" w:sz="4" w:space="0"/>
              <w:right w:val="single" w:color="auto" w:sz="4" w:space="0"/>
            </w:tcBorders>
            <w:shd w:val="clear" w:color="auto" w:fill="auto"/>
            <w:vAlign w:val="center"/>
          </w:tcPr>
          <w:p w14:paraId="0A89FB2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2102313XNQP0MB200117</w:t>
            </w:r>
          </w:p>
        </w:tc>
        <w:tc>
          <w:tcPr>
            <w:tcW w:w="1701" w:type="dxa"/>
            <w:tcBorders>
              <w:top w:val="nil"/>
              <w:left w:val="nil"/>
              <w:bottom w:val="single" w:color="auto" w:sz="4" w:space="0"/>
              <w:right w:val="single" w:color="auto" w:sz="4" w:space="0"/>
            </w:tcBorders>
            <w:shd w:val="clear" w:color="auto" w:fill="auto"/>
            <w:vAlign w:val="center"/>
          </w:tcPr>
          <w:p w14:paraId="6A75D605">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bl>
    <w:p w14:paraId="636D63F2">
      <w:pPr>
        <w:pStyle w:val="20"/>
        <w:spacing w:line="360" w:lineRule="auto"/>
        <w:ind w:firstLineChars="0"/>
        <w:rPr>
          <w:rFonts w:ascii="宋体" w:hAnsi="宋体"/>
          <w:b/>
          <w:bCs/>
        </w:rPr>
      </w:pPr>
      <w:r>
        <w:rPr>
          <w:rFonts w:hint="eastAsia" w:ascii="宋体" w:hAnsi="宋体"/>
          <w:b/>
          <w:bCs/>
        </w:rPr>
        <w:t>维保服务：</w:t>
      </w:r>
    </w:p>
    <w:p w14:paraId="09EBEFF0">
      <w:pPr>
        <w:pStyle w:val="20"/>
        <w:spacing w:line="360" w:lineRule="auto"/>
        <w:ind w:firstLineChars="0"/>
        <w:rPr>
          <w:rFonts w:ascii="宋体" w:hAnsi="宋体"/>
        </w:rPr>
      </w:pPr>
      <w:r>
        <w:rPr>
          <w:rFonts w:hint="eastAsia" w:ascii="宋体" w:hAnsi="宋体"/>
        </w:rPr>
        <w:t>提供【1】年的硬件维护支持，包括机头、CPU、内存、硬盘、电源的维护支持。</w:t>
      </w:r>
    </w:p>
    <w:p w14:paraId="7608012B">
      <w:pPr>
        <w:pStyle w:val="3"/>
      </w:pPr>
      <w:bookmarkStart w:id="6" w:name="_Toc200719630"/>
      <w:r>
        <w:rPr>
          <w:rFonts w:hint="eastAsia"/>
        </w:rPr>
        <w:t>2</w:t>
      </w:r>
      <w:r>
        <w:t>.4</w:t>
      </w:r>
      <w:r>
        <w:rPr>
          <w:rFonts w:hint="eastAsia"/>
        </w:rPr>
        <w:t>．</w:t>
      </w:r>
      <w:r>
        <w:t xml:space="preserve"> </w:t>
      </w:r>
      <w:r>
        <w:rPr>
          <w:rFonts w:hint="eastAsia"/>
        </w:rPr>
        <w:t>超融合存储交换机</w:t>
      </w:r>
      <w:bookmarkEnd w:id="6"/>
    </w:p>
    <w:p w14:paraId="67B8CF7F">
      <w:pPr>
        <w:pStyle w:val="20"/>
        <w:spacing w:line="360" w:lineRule="auto"/>
        <w:ind w:firstLineChars="0"/>
        <w:rPr>
          <w:rFonts w:ascii="宋体" w:hAnsi="宋体"/>
          <w:b/>
          <w:bCs/>
        </w:rPr>
      </w:pPr>
      <w:r>
        <w:rPr>
          <w:rFonts w:hint="eastAsia" w:ascii="宋体" w:hAnsi="宋体"/>
          <w:b/>
          <w:bCs/>
        </w:rPr>
        <w:t>续保硬件清单如下：</w:t>
      </w:r>
    </w:p>
    <w:tbl>
      <w:tblPr>
        <w:tblStyle w:val="11"/>
        <w:tblW w:w="8359" w:type="dxa"/>
        <w:tblInd w:w="0" w:type="dxa"/>
        <w:tblLayout w:type="autofit"/>
        <w:tblCellMar>
          <w:top w:w="0" w:type="dxa"/>
          <w:left w:w="108" w:type="dxa"/>
          <w:bottom w:w="0" w:type="dxa"/>
          <w:right w:w="108" w:type="dxa"/>
        </w:tblCellMar>
      </w:tblPr>
      <w:tblGrid>
        <w:gridCol w:w="1555"/>
        <w:gridCol w:w="1984"/>
        <w:gridCol w:w="3119"/>
        <w:gridCol w:w="1701"/>
      </w:tblGrid>
      <w:tr w14:paraId="75CC6741">
        <w:tblPrEx>
          <w:tblCellMar>
            <w:top w:w="0" w:type="dxa"/>
            <w:left w:w="108" w:type="dxa"/>
            <w:bottom w:w="0" w:type="dxa"/>
            <w:right w:w="108" w:type="dxa"/>
          </w:tblCellMar>
        </w:tblPrEx>
        <w:trPr>
          <w:trHeight w:val="285" w:hRule="atLeast"/>
        </w:trPr>
        <w:tc>
          <w:tcPr>
            <w:tcW w:w="1555" w:type="dxa"/>
            <w:tcBorders>
              <w:top w:val="single" w:color="auto" w:sz="4" w:space="0"/>
              <w:left w:val="single" w:color="auto" w:sz="4" w:space="0"/>
              <w:bottom w:val="single" w:color="auto" w:sz="4" w:space="0"/>
              <w:right w:val="single" w:color="auto" w:sz="4" w:space="0"/>
            </w:tcBorders>
            <w:shd w:val="clear" w:color="000000" w:fill="E7E6E6"/>
            <w:vAlign w:val="center"/>
          </w:tcPr>
          <w:p w14:paraId="59690216">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类别</w:t>
            </w:r>
          </w:p>
        </w:tc>
        <w:tc>
          <w:tcPr>
            <w:tcW w:w="1984" w:type="dxa"/>
            <w:tcBorders>
              <w:top w:val="single" w:color="auto" w:sz="4" w:space="0"/>
              <w:left w:val="nil"/>
              <w:bottom w:val="single" w:color="auto" w:sz="4" w:space="0"/>
              <w:right w:val="single" w:color="auto" w:sz="4" w:space="0"/>
            </w:tcBorders>
            <w:shd w:val="clear" w:color="000000" w:fill="E7E6E6"/>
            <w:vAlign w:val="center"/>
          </w:tcPr>
          <w:p w14:paraId="2C81ED52">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型号</w:t>
            </w:r>
          </w:p>
        </w:tc>
        <w:tc>
          <w:tcPr>
            <w:tcW w:w="3119" w:type="dxa"/>
            <w:tcBorders>
              <w:top w:val="single" w:color="auto" w:sz="4" w:space="0"/>
              <w:left w:val="nil"/>
              <w:bottom w:val="single" w:color="auto" w:sz="4" w:space="0"/>
              <w:right w:val="single" w:color="auto" w:sz="4" w:space="0"/>
            </w:tcBorders>
            <w:shd w:val="clear" w:color="000000" w:fill="E7E6E6"/>
            <w:vAlign w:val="center"/>
          </w:tcPr>
          <w:p w14:paraId="0F7A28C6">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参数或序列号</w:t>
            </w:r>
          </w:p>
        </w:tc>
        <w:tc>
          <w:tcPr>
            <w:tcW w:w="1701" w:type="dxa"/>
            <w:tcBorders>
              <w:top w:val="single" w:color="auto" w:sz="4" w:space="0"/>
              <w:left w:val="nil"/>
              <w:bottom w:val="single" w:color="auto" w:sz="4" w:space="0"/>
              <w:right w:val="single" w:color="auto" w:sz="4" w:space="0"/>
            </w:tcBorders>
            <w:shd w:val="clear" w:color="000000" w:fill="E7E6E6"/>
            <w:vAlign w:val="center"/>
          </w:tcPr>
          <w:p w14:paraId="5C7B006E">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数量及单位</w:t>
            </w:r>
          </w:p>
        </w:tc>
      </w:tr>
      <w:tr w14:paraId="7A2F9C09">
        <w:tblPrEx>
          <w:tblCellMar>
            <w:top w:w="0" w:type="dxa"/>
            <w:left w:w="108" w:type="dxa"/>
            <w:bottom w:w="0" w:type="dxa"/>
            <w:right w:w="108" w:type="dxa"/>
          </w:tblCellMar>
        </w:tblPrEx>
        <w:trPr>
          <w:trHeight w:val="285" w:hRule="atLeast"/>
        </w:trPr>
        <w:tc>
          <w:tcPr>
            <w:tcW w:w="1555" w:type="dxa"/>
            <w:vMerge w:val="restart"/>
            <w:tcBorders>
              <w:top w:val="nil"/>
              <w:left w:val="single" w:color="auto" w:sz="4" w:space="0"/>
              <w:bottom w:val="single" w:color="auto" w:sz="4" w:space="0"/>
              <w:right w:val="single" w:color="auto" w:sz="4" w:space="0"/>
            </w:tcBorders>
            <w:shd w:val="clear" w:color="auto" w:fill="auto"/>
            <w:vAlign w:val="center"/>
          </w:tcPr>
          <w:p w14:paraId="7EFB9E44">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超融合存储交换机</w:t>
            </w:r>
          </w:p>
        </w:tc>
        <w:tc>
          <w:tcPr>
            <w:tcW w:w="1984" w:type="dxa"/>
            <w:tcBorders>
              <w:top w:val="nil"/>
              <w:left w:val="nil"/>
              <w:bottom w:val="single" w:color="auto" w:sz="4" w:space="0"/>
              <w:right w:val="single" w:color="auto" w:sz="4" w:space="0"/>
            </w:tcBorders>
            <w:shd w:val="clear" w:color="auto" w:fill="auto"/>
            <w:noWrap/>
            <w:vAlign w:val="center"/>
          </w:tcPr>
          <w:p w14:paraId="15F38C91">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S6730-H48X6C</w:t>
            </w:r>
          </w:p>
        </w:tc>
        <w:tc>
          <w:tcPr>
            <w:tcW w:w="3119" w:type="dxa"/>
            <w:tcBorders>
              <w:top w:val="nil"/>
              <w:left w:val="nil"/>
              <w:bottom w:val="single" w:color="auto" w:sz="4" w:space="0"/>
              <w:right w:val="single" w:color="auto" w:sz="4" w:space="0"/>
            </w:tcBorders>
            <w:shd w:val="clear" w:color="auto" w:fill="auto"/>
            <w:noWrap/>
            <w:vAlign w:val="center"/>
          </w:tcPr>
          <w:p w14:paraId="3B6465E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102190109388</w:t>
            </w:r>
          </w:p>
        </w:tc>
        <w:tc>
          <w:tcPr>
            <w:tcW w:w="1701" w:type="dxa"/>
            <w:tcBorders>
              <w:top w:val="nil"/>
              <w:left w:val="nil"/>
              <w:bottom w:val="single" w:color="auto" w:sz="4" w:space="0"/>
              <w:right w:val="single" w:color="auto" w:sz="4" w:space="0"/>
            </w:tcBorders>
            <w:shd w:val="clear" w:color="auto" w:fill="auto"/>
            <w:vAlign w:val="center"/>
          </w:tcPr>
          <w:p w14:paraId="15A51BF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1台</w:t>
            </w:r>
          </w:p>
        </w:tc>
      </w:tr>
      <w:tr w14:paraId="01CCD9A3">
        <w:tblPrEx>
          <w:tblCellMar>
            <w:top w:w="0" w:type="dxa"/>
            <w:left w:w="108" w:type="dxa"/>
            <w:bottom w:w="0" w:type="dxa"/>
            <w:right w:w="108" w:type="dxa"/>
          </w:tblCellMar>
        </w:tblPrEx>
        <w:trPr>
          <w:trHeight w:val="285" w:hRule="atLeast"/>
        </w:trPr>
        <w:tc>
          <w:tcPr>
            <w:tcW w:w="1555" w:type="dxa"/>
            <w:vMerge w:val="continue"/>
            <w:tcBorders>
              <w:top w:val="nil"/>
              <w:left w:val="single" w:color="auto" w:sz="4" w:space="0"/>
              <w:bottom w:val="single" w:color="auto" w:sz="4" w:space="0"/>
              <w:right w:val="single" w:color="auto" w:sz="4" w:space="0"/>
            </w:tcBorders>
            <w:vAlign w:val="center"/>
          </w:tcPr>
          <w:p w14:paraId="0F821164">
            <w:pPr>
              <w:widowControl/>
              <w:jc w:val="left"/>
              <w:rPr>
                <w:rFonts w:ascii="等线" w:hAnsi="等线" w:eastAsia="等线" w:cs="宋体"/>
                <w:color w:val="000000"/>
                <w:kern w:val="0"/>
                <w:sz w:val="22"/>
                <w:szCs w:val="22"/>
              </w:rPr>
            </w:pPr>
          </w:p>
        </w:tc>
        <w:tc>
          <w:tcPr>
            <w:tcW w:w="1984" w:type="dxa"/>
            <w:tcBorders>
              <w:top w:val="nil"/>
              <w:left w:val="nil"/>
              <w:bottom w:val="single" w:color="auto" w:sz="4" w:space="0"/>
              <w:right w:val="single" w:color="auto" w:sz="4" w:space="0"/>
            </w:tcBorders>
            <w:shd w:val="clear" w:color="auto" w:fill="auto"/>
            <w:noWrap/>
            <w:vAlign w:val="center"/>
          </w:tcPr>
          <w:p w14:paraId="0BE1D038">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S6730-H48X6C</w:t>
            </w:r>
          </w:p>
        </w:tc>
        <w:tc>
          <w:tcPr>
            <w:tcW w:w="3119" w:type="dxa"/>
            <w:tcBorders>
              <w:top w:val="nil"/>
              <w:left w:val="nil"/>
              <w:bottom w:val="single" w:color="auto" w:sz="4" w:space="0"/>
              <w:right w:val="single" w:color="auto" w:sz="4" w:space="0"/>
            </w:tcBorders>
            <w:shd w:val="clear" w:color="auto" w:fill="auto"/>
            <w:noWrap/>
            <w:vAlign w:val="center"/>
          </w:tcPr>
          <w:p w14:paraId="70FDB23B">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102190109389</w:t>
            </w:r>
          </w:p>
        </w:tc>
        <w:tc>
          <w:tcPr>
            <w:tcW w:w="1701" w:type="dxa"/>
            <w:tcBorders>
              <w:top w:val="nil"/>
              <w:left w:val="nil"/>
              <w:bottom w:val="single" w:color="auto" w:sz="4" w:space="0"/>
              <w:right w:val="single" w:color="auto" w:sz="4" w:space="0"/>
            </w:tcBorders>
            <w:shd w:val="clear" w:color="auto" w:fill="auto"/>
            <w:vAlign w:val="center"/>
          </w:tcPr>
          <w:p w14:paraId="4FAB82FC">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1台</w:t>
            </w:r>
          </w:p>
        </w:tc>
      </w:tr>
    </w:tbl>
    <w:p w14:paraId="5FBFF931">
      <w:pPr>
        <w:pStyle w:val="20"/>
        <w:spacing w:line="360" w:lineRule="auto"/>
        <w:ind w:firstLineChars="0"/>
        <w:rPr>
          <w:rFonts w:ascii="宋体" w:hAnsi="宋体"/>
          <w:b/>
          <w:bCs/>
        </w:rPr>
      </w:pPr>
      <w:r>
        <w:rPr>
          <w:rFonts w:hint="eastAsia" w:ascii="宋体" w:hAnsi="宋体"/>
          <w:b/>
          <w:bCs/>
        </w:rPr>
        <w:t>维保服务：</w:t>
      </w:r>
    </w:p>
    <w:p w14:paraId="0564F21D">
      <w:pPr>
        <w:pStyle w:val="20"/>
        <w:spacing w:line="360" w:lineRule="auto"/>
        <w:ind w:firstLineChars="0"/>
        <w:rPr>
          <w:rFonts w:ascii="宋体" w:hAnsi="宋体"/>
        </w:rPr>
      </w:pPr>
      <w:r>
        <w:rPr>
          <w:rFonts w:hint="eastAsia" w:ascii="宋体" w:hAnsi="宋体"/>
        </w:rPr>
        <w:t>提供【1】年的硬件维保服务，包括机头、模块、板卡的维护支持。</w:t>
      </w:r>
    </w:p>
    <w:p w14:paraId="106F26DC">
      <w:pPr>
        <w:pStyle w:val="3"/>
      </w:pPr>
      <w:bookmarkStart w:id="7" w:name="_Toc200719631"/>
      <w:r>
        <w:rPr>
          <w:rFonts w:hint="eastAsia"/>
        </w:rPr>
        <w:t>2</w:t>
      </w:r>
      <w:r>
        <w:t>.5</w:t>
      </w:r>
      <w:r>
        <w:rPr>
          <w:rFonts w:hint="eastAsia"/>
        </w:rPr>
        <w:t>．</w:t>
      </w:r>
      <w:r>
        <w:t xml:space="preserve"> </w:t>
      </w:r>
      <w:r>
        <w:rPr>
          <w:rFonts w:hint="eastAsia"/>
        </w:rPr>
        <w:t>业务软件</w:t>
      </w:r>
      <w:bookmarkEnd w:id="7"/>
    </w:p>
    <w:p w14:paraId="607E4FCB">
      <w:pPr>
        <w:rPr>
          <w:b/>
          <w:bCs/>
        </w:rPr>
      </w:pPr>
      <w:r>
        <w:tab/>
      </w:r>
      <w:r>
        <w:rPr>
          <w:rFonts w:hint="eastAsia"/>
          <w:b/>
          <w:bCs/>
        </w:rPr>
        <w:t>软件续保清单如下：</w:t>
      </w:r>
    </w:p>
    <w:tbl>
      <w:tblPr>
        <w:tblStyle w:val="11"/>
        <w:tblW w:w="8359" w:type="dxa"/>
        <w:tblInd w:w="0" w:type="dxa"/>
        <w:tblLayout w:type="autofit"/>
        <w:tblCellMar>
          <w:top w:w="0" w:type="dxa"/>
          <w:left w:w="108" w:type="dxa"/>
          <w:bottom w:w="0" w:type="dxa"/>
          <w:right w:w="108" w:type="dxa"/>
        </w:tblCellMar>
      </w:tblPr>
      <w:tblGrid>
        <w:gridCol w:w="2780"/>
        <w:gridCol w:w="4161"/>
        <w:gridCol w:w="1418"/>
      </w:tblGrid>
      <w:tr w14:paraId="24B31D19">
        <w:tblPrEx>
          <w:tblCellMar>
            <w:top w:w="0" w:type="dxa"/>
            <w:left w:w="108" w:type="dxa"/>
            <w:bottom w:w="0" w:type="dxa"/>
            <w:right w:w="108" w:type="dxa"/>
          </w:tblCellMar>
        </w:tblPrEx>
        <w:trPr>
          <w:trHeight w:val="285" w:hRule="atLeast"/>
        </w:trPr>
        <w:tc>
          <w:tcPr>
            <w:tcW w:w="2780" w:type="dxa"/>
            <w:tcBorders>
              <w:top w:val="single" w:color="auto" w:sz="4" w:space="0"/>
              <w:left w:val="single" w:color="auto" w:sz="4" w:space="0"/>
              <w:bottom w:val="single" w:color="auto" w:sz="4" w:space="0"/>
              <w:right w:val="single" w:color="auto" w:sz="4" w:space="0"/>
            </w:tcBorders>
            <w:shd w:val="clear" w:color="000000" w:fill="E7E6E6"/>
            <w:vAlign w:val="center"/>
          </w:tcPr>
          <w:p w14:paraId="5C0CADDF">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类别</w:t>
            </w:r>
          </w:p>
        </w:tc>
        <w:tc>
          <w:tcPr>
            <w:tcW w:w="4161" w:type="dxa"/>
            <w:tcBorders>
              <w:top w:val="single" w:color="auto" w:sz="4" w:space="0"/>
              <w:left w:val="nil"/>
              <w:bottom w:val="single" w:color="auto" w:sz="4" w:space="0"/>
              <w:right w:val="single" w:color="auto" w:sz="4" w:space="0"/>
            </w:tcBorders>
            <w:shd w:val="clear" w:color="000000" w:fill="E7E6E6"/>
            <w:vAlign w:val="center"/>
          </w:tcPr>
          <w:p w14:paraId="0E705DFB">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参数或序列号</w:t>
            </w:r>
          </w:p>
        </w:tc>
        <w:tc>
          <w:tcPr>
            <w:tcW w:w="1418" w:type="dxa"/>
            <w:tcBorders>
              <w:top w:val="single" w:color="auto" w:sz="4" w:space="0"/>
              <w:left w:val="nil"/>
              <w:bottom w:val="single" w:color="auto" w:sz="4" w:space="0"/>
              <w:right w:val="single" w:color="auto" w:sz="4" w:space="0"/>
            </w:tcBorders>
            <w:shd w:val="clear" w:color="000000" w:fill="E7E6E6"/>
            <w:vAlign w:val="center"/>
          </w:tcPr>
          <w:p w14:paraId="07D22A72">
            <w:pPr>
              <w:widowControl/>
              <w:jc w:val="center"/>
              <w:rPr>
                <w:rFonts w:ascii="等线" w:hAnsi="等线" w:eastAsia="等线" w:cs="宋体"/>
                <w:b/>
                <w:bCs/>
                <w:color w:val="000000"/>
                <w:kern w:val="0"/>
                <w:sz w:val="22"/>
                <w:szCs w:val="22"/>
              </w:rPr>
            </w:pPr>
            <w:r>
              <w:rPr>
                <w:rFonts w:hint="eastAsia" w:ascii="等线" w:hAnsi="等线" w:eastAsia="等线" w:cs="宋体"/>
                <w:b/>
                <w:bCs/>
                <w:color w:val="000000"/>
                <w:kern w:val="0"/>
                <w:sz w:val="22"/>
                <w:szCs w:val="22"/>
              </w:rPr>
              <w:t>数量及单位</w:t>
            </w:r>
          </w:p>
        </w:tc>
      </w:tr>
      <w:tr w14:paraId="075E7B46">
        <w:tblPrEx>
          <w:tblCellMar>
            <w:top w:w="0" w:type="dxa"/>
            <w:left w:w="108" w:type="dxa"/>
            <w:bottom w:w="0" w:type="dxa"/>
            <w:right w:w="108" w:type="dxa"/>
          </w:tblCellMar>
        </w:tblPrEx>
        <w:trPr>
          <w:trHeight w:val="570"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417CBFB5">
            <w:pPr>
              <w:widowControl/>
              <w:jc w:val="center"/>
              <w:rPr>
                <w:rFonts w:ascii="等线" w:hAnsi="等线" w:eastAsia="等线" w:cs="宋体"/>
                <w:b/>
                <w:bCs/>
                <w:color w:val="0070C0"/>
                <w:kern w:val="0"/>
                <w:sz w:val="22"/>
                <w:szCs w:val="22"/>
              </w:rPr>
            </w:pPr>
            <w:r>
              <w:rPr>
                <w:rFonts w:hint="eastAsia" w:ascii="等线" w:hAnsi="等线" w:eastAsia="等线" w:cs="宋体"/>
                <w:b/>
                <w:bCs/>
                <w:color w:val="0070C0"/>
                <w:kern w:val="0"/>
                <w:sz w:val="22"/>
                <w:szCs w:val="22"/>
              </w:rPr>
              <w:t>树根互联工业互联网平台根云4.0</w:t>
            </w:r>
          </w:p>
        </w:tc>
        <w:tc>
          <w:tcPr>
            <w:tcW w:w="4161" w:type="dxa"/>
            <w:tcBorders>
              <w:top w:val="nil"/>
              <w:left w:val="nil"/>
              <w:bottom w:val="single" w:color="auto" w:sz="4" w:space="0"/>
              <w:right w:val="single" w:color="auto" w:sz="4" w:space="0"/>
            </w:tcBorders>
            <w:shd w:val="clear" w:color="auto" w:fill="auto"/>
            <w:vAlign w:val="center"/>
          </w:tcPr>
          <w:p w14:paraId="6D7FBA49">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根云平台V4.0</w:t>
            </w:r>
          </w:p>
        </w:tc>
        <w:tc>
          <w:tcPr>
            <w:tcW w:w="1418" w:type="dxa"/>
            <w:tcBorders>
              <w:top w:val="nil"/>
              <w:left w:val="nil"/>
              <w:bottom w:val="single" w:color="auto" w:sz="4" w:space="0"/>
              <w:right w:val="single" w:color="auto" w:sz="4" w:space="0"/>
            </w:tcBorders>
            <w:shd w:val="clear" w:color="auto" w:fill="auto"/>
            <w:vAlign w:val="center"/>
          </w:tcPr>
          <w:p w14:paraId="581A634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01181E5A">
        <w:tblPrEx>
          <w:tblCellMar>
            <w:top w:w="0" w:type="dxa"/>
            <w:left w:w="108" w:type="dxa"/>
            <w:bottom w:w="0" w:type="dxa"/>
            <w:right w:w="108" w:type="dxa"/>
          </w:tblCellMar>
        </w:tblPrEx>
        <w:trPr>
          <w:trHeight w:val="285"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4EABEAEB">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树根互联数据中台</w:t>
            </w:r>
          </w:p>
        </w:tc>
        <w:tc>
          <w:tcPr>
            <w:tcW w:w="4161" w:type="dxa"/>
            <w:tcBorders>
              <w:top w:val="nil"/>
              <w:left w:val="nil"/>
              <w:bottom w:val="single" w:color="auto" w:sz="4" w:space="0"/>
              <w:right w:val="single" w:color="auto" w:sz="4" w:space="0"/>
            </w:tcBorders>
            <w:shd w:val="clear" w:color="auto" w:fill="auto"/>
            <w:vAlign w:val="center"/>
          </w:tcPr>
          <w:p w14:paraId="679C6FF5">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大数据平台</w:t>
            </w:r>
          </w:p>
        </w:tc>
        <w:tc>
          <w:tcPr>
            <w:tcW w:w="1418" w:type="dxa"/>
            <w:tcBorders>
              <w:top w:val="nil"/>
              <w:left w:val="nil"/>
              <w:bottom w:val="single" w:color="auto" w:sz="4" w:space="0"/>
              <w:right w:val="single" w:color="auto" w:sz="4" w:space="0"/>
            </w:tcBorders>
            <w:shd w:val="clear" w:color="auto" w:fill="auto"/>
            <w:vAlign w:val="center"/>
          </w:tcPr>
          <w:p w14:paraId="777FE8EF">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1DA66FBC">
        <w:tblPrEx>
          <w:tblCellMar>
            <w:top w:w="0" w:type="dxa"/>
            <w:left w:w="108" w:type="dxa"/>
            <w:bottom w:w="0" w:type="dxa"/>
            <w:right w:w="108" w:type="dxa"/>
          </w:tblCellMar>
        </w:tblPrEx>
        <w:trPr>
          <w:trHeight w:val="559"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15510A2F">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树根互联集控运营指挥系统</w:t>
            </w:r>
          </w:p>
        </w:tc>
        <w:tc>
          <w:tcPr>
            <w:tcW w:w="4161" w:type="dxa"/>
            <w:tcBorders>
              <w:top w:val="nil"/>
              <w:left w:val="nil"/>
              <w:bottom w:val="single" w:color="auto" w:sz="4" w:space="0"/>
              <w:right w:val="single" w:color="auto" w:sz="4" w:space="0"/>
            </w:tcBorders>
            <w:shd w:val="clear" w:color="auto" w:fill="auto"/>
            <w:vAlign w:val="center"/>
          </w:tcPr>
          <w:p w14:paraId="6AAF4E6A">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集控运营指挥系统，包含1.集控运营调度系统；2.移动工艺巡检；3.公辅集控</w:t>
            </w:r>
          </w:p>
        </w:tc>
        <w:tc>
          <w:tcPr>
            <w:tcW w:w="1418" w:type="dxa"/>
            <w:tcBorders>
              <w:top w:val="nil"/>
              <w:left w:val="nil"/>
              <w:bottom w:val="single" w:color="auto" w:sz="4" w:space="0"/>
              <w:right w:val="single" w:color="auto" w:sz="4" w:space="0"/>
            </w:tcBorders>
            <w:shd w:val="clear" w:color="auto" w:fill="auto"/>
            <w:vAlign w:val="center"/>
          </w:tcPr>
          <w:p w14:paraId="62602633">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32D50BDF">
        <w:tblPrEx>
          <w:tblCellMar>
            <w:top w:w="0" w:type="dxa"/>
            <w:left w:w="108" w:type="dxa"/>
            <w:bottom w:w="0" w:type="dxa"/>
            <w:right w:w="108" w:type="dxa"/>
          </w:tblCellMar>
        </w:tblPrEx>
        <w:trPr>
          <w:trHeight w:val="570"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151946C8">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树根互联智慧安环系统（含APP）</w:t>
            </w:r>
          </w:p>
        </w:tc>
        <w:tc>
          <w:tcPr>
            <w:tcW w:w="4161" w:type="dxa"/>
            <w:tcBorders>
              <w:top w:val="nil"/>
              <w:left w:val="nil"/>
              <w:bottom w:val="single" w:color="auto" w:sz="4" w:space="0"/>
              <w:right w:val="single" w:color="auto" w:sz="4" w:space="0"/>
            </w:tcBorders>
            <w:shd w:val="clear" w:color="auto" w:fill="auto"/>
            <w:vAlign w:val="center"/>
          </w:tcPr>
          <w:p w14:paraId="44440924">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智慧安环系统（含APP）</w:t>
            </w:r>
          </w:p>
        </w:tc>
        <w:tc>
          <w:tcPr>
            <w:tcW w:w="1418" w:type="dxa"/>
            <w:tcBorders>
              <w:top w:val="nil"/>
              <w:left w:val="nil"/>
              <w:bottom w:val="single" w:color="auto" w:sz="4" w:space="0"/>
              <w:right w:val="single" w:color="auto" w:sz="4" w:space="0"/>
            </w:tcBorders>
            <w:shd w:val="clear" w:color="auto" w:fill="auto"/>
            <w:vAlign w:val="center"/>
          </w:tcPr>
          <w:p w14:paraId="011F8F9C">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6B157959">
        <w:tblPrEx>
          <w:tblCellMar>
            <w:top w:w="0" w:type="dxa"/>
            <w:left w:w="108" w:type="dxa"/>
            <w:bottom w:w="0" w:type="dxa"/>
            <w:right w:w="108" w:type="dxa"/>
          </w:tblCellMar>
        </w:tblPrEx>
        <w:trPr>
          <w:trHeight w:val="285"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32352655">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树根互联成本管报系统</w:t>
            </w:r>
          </w:p>
        </w:tc>
        <w:tc>
          <w:tcPr>
            <w:tcW w:w="4161" w:type="dxa"/>
            <w:tcBorders>
              <w:top w:val="nil"/>
              <w:left w:val="nil"/>
              <w:bottom w:val="single" w:color="auto" w:sz="4" w:space="0"/>
              <w:right w:val="single" w:color="auto" w:sz="4" w:space="0"/>
            </w:tcBorders>
            <w:shd w:val="clear" w:color="auto" w:fill="auto"/>
            <w:vAlign w:val="center"/>
          </w:tcPr>
          <w:p w14:paraId="3FBF0844">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成本管报系统</w:t>
            </w:r>
          </w:p>
        </w:tc>
        <w:tc>
          <w:tcPr>
            <w:tcW w:w="1418" w:type="dxa"/>
            <w:tcBorders>
              <w:top w:val="nil"/>
              <w:left w:val="nil"/>
              <w:bottom w:val="single" w:color="auto" w:sz="4" w:space="0"/>
              <w:right w:val="single" w:color="auto" w:sz="4" w:space="0"/>
            </w:tcBorders>
            <w:shd w:val="clear" w:color="auto" w:fill="auto"/>
            <w:vAlign w:val="center"/>
          </w:tcPr>
          <w:p w14:paraId="1EACED39">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59D5FD42">
        <w:tblPrEx>
          <w:tblCellMar>
            <w:top w:w="0" w:type="dxa"/>
            <w:left w:w="108" w:type="dxa"/>
            <w:bottom w:w="0" w:type="dxa"/>
            <w:right w:w="108" w:type="dxa"/>
          </w:tblCellMar>
        </w:tblPrEx>
        <w:trPr>
          <w:trHeight w:val="285"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31DD3CC6">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树根互联智慧质量系统</w:t>
            </w:r>
          </w:p>
        </w:tc>
        <w:tc>
          <w:tcPr>
            <w:tcW w:w="4161" w:type="dxa"/>
            <w:tcBorders>
              <w:top w:val="nil"/>
              <w:left w:val="nil"/>
              <w:bottom w:val="single" w:color="auto" w:sz="4" w:space="0"/>
              <w:right w:val="single" w:color="auto" w:sz="4" w:space="0"/>
            </w:tcBorders>
            <w:shd w:val="clear" w:color="auto" w:fill="auto"/>
            <w:vAlign w:val="center"/>
          </w:tcPr>
          <w:p w14:paraId="096643B9">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智慧质量系统</w:t>
            </w:r>
          </w:p>
        </w:tc>
        <w:tc>
          <w:tcPr>
            <w:tcW w:w="1418" w:type="dxa"/>
            <w:tcBorders>
              <w:top w:val="nil"/>
              <w:left w:val="nil"/>
              <w:bottom w:val="single" w:color="auto" w:sz="4" w:space="0"/>
              <w:right w:val="single" w:color="auto" w:sz="4" w:space="0"/>
            </w:tcBorders>
            <w:shd w:val="clear" w:color="auto" w:fill="auto"/>
            <w:vAlign w:val="center"/>
          </w:tcPr>
          <w:p w14:paraId="3340D91D">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6CF73CA8">
        <w:tblPrEx>
          <w:tblCellMar>
            <w:top w:w="0" w:type="dxa"/>
            <w:left w:w="108" w:type="dxa"/>
            <w:bottom w:w="0" w:type="dxa"/>
            <w:right w:w="108" w:type="dxa"/>
          </w:tblCellMar>
        </w:tblPrEx>
        <w:trPr>
          <w:trHeight w:val="555"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0161B103">
            <w:pPr>
              <w:widowControl/>
              <w:jc w:val="center"/>
              <w:rPr>
                <w:rFonts w:ascii="等线" w:hAnsi="等线" w:eastAsia="等线" w:cs="宋体"/>
                <w:kern w:val="0"/>
                <w:sz w:val="22"/>
                <w:szCs w:val="22"/>
              </w:rPr>
            </w:pPr>
            <w:r>
              <w:rPr>
                <w:rFonts w:hint="eastAsia" w:ascii="等线" w:hAnsi="等线" w:eastAsia="等线" w:cs="宋体"/>
                <w:kern w:val="0"/>
                <w:sz w:val="22"/>
                <w:szCs w:val="22"/>
              </w:rPr>
              <w:t>树根互联设备点检APP</w:t>
            </w:r>
            <w:r>
              <w:rPr>
                <w:rFonts w:hint="eastAsia" w:ascii="宋体" w:hAnsi="宋体" w:cs="宋体"/>
                <w:kern w:val="0"/>
                <w:sz w:val="22"/>
                <w:szCs w:val="22"/>
              </w:rPr>
              <w:t>（</w:t>
            </w:r>
            <w:r>
              <w:rPr>
                <w:rFonts w:hint="eastAsia" w:ascii="宋体" w:hAnsi="宋体" w:cs="宋体"/>
                <w:color w:val="FF0000"/>
                <w:kern w:val="0"/>
                <w:sz w:val="22"/>
                <w:szCs w:val="22"/>
              </w:rPr>
              <w:t>含后台管理</w:t>
            </w:r>
            <w:r>
              <w:rPr>
                <w:rFonts w:hint="eastAsia" w:ascii="宋体" w:hAnsi="宋体" w:cs="宋体"/>
                <w:kern w:val="0"/>
                <w:sz w:val="22"/>
                <w:szCs w:val="22"/>
              </w:rPr>
              <w:t>）</w:t>
            </w:r>
          </w:p>
        </w:tc>
        <w:tc>
          <w:tcPr>
            <w:tcW w:w="4161" w:type="dxa"/>
            <w:tcBorders>
              <w:top w:val="nil"/>
              <w:left w:val="nil"/>
              <w:bottom w:val="single" w:color="auto" w:sz="4" w:space="0"/>
              <w:right w:val="single" w:color="auto" w:sz="4" w:space="0"/>
            </w:tcBorders>
            <w:shd w:val="clear" w:color="auto" w:fill="auto"/>
            <w:vAlign w:val="center"/>
          </w:tcPr>
          <w:p w14:paraId="2400151B">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设备点检APP（含后台管理）</w:t>
            </w:r>
          </w:p>
        </w:tc>
        <w:tc>
          <w:tcPr>
            <w:tcW w:w="1418" w:type="dxa"/>
            <w:tcBorders>
              <w:top w:val="nil"/>
              <w:left w:val="nil"/>
              <w:bottom w:val="single" w:color="auto" w:sz="4" w:space="0"/>
              <w:right w:val="single" w:color="auto" w:sz="4" w:space="0"/>
            </w:tcBorders>
            <w:shd w:val="clear" w:color="auto" w:fill="auto"/>
            <w:vAlign w:val="center"/>
          </w:tcPr>
          <w:p w14:paraId="32366CC3">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41EFE131">
        <w:tblPrEx>
          <w:tblCellMar>
            <w:top w:w="0" w:type="dxa"/>
            <w:left w:w="108" w:type="dxa"/>
            <w:bottom w:w="0" w:type="dxa"/>
            <w:right w:w="108" w:type="dxa"/>
          </w:tblCellMar>
        </w:tblPrEx>
        <w:trPr>
          <w:trHeight w:val="570"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63DEE9FC">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树根互联智慧园区（5G+智慧工厂统一门户）</w:t>
            </w:r>
          </w:p>
        </w:tc>
        <w:tc>
          <w:tcPr>
            <w:tcW w:w="4161" w:type="dxa"/>
            <w:tcBorders>
              <w:top w:val="nil"/>
              <w:left w:val="nil"/>
              <w:bottom w:val="single" w:color="auto" w:sz="4" w:space="0"/>
              <w:right w:val="single" w:color="auto" w:sz="4" w:space="0"/>
            </w:tcBorders>
            <w:shd w:val="clear" w:color="auto" w:fill="auto"/>
            <w:vAlign w:val="center"/>
          </w:tcPr>
          <w:p w14:paraId="54B3CC2B">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5G+智慧工厂统一门户</w:t>
            </w:r>
          </w:p>
        </w:tc>
        <w:tc>
          <w:tcPr>
            <w:tcW w:w="1418" w:type="dxa"/>
            <w:tcBorders>
              <w:top w:val="nil"/>
              <w:left w:val="nil"/>
              <w:bottom w:val="single" w:color="auto" w:sz="4" w:space="0"/>
              <w:right w:val="single" w:color="auto" w:sz="4" w:space="0"/>
            </w:tcBorders>
            <w:shd w:val="clear" w:color="auto" w:fill="auto"/>
            <w:vAlign w:val="center"/>
          </w:tcPr>
          <w:p w14:paraId="10AC6D75">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r w14:paraId="1F830F21">
        <w:tblPrEx>
          <w:tblCellMar>
            <w:top w:w="0" w:type="dxa"/>
            <w:left w:w="108" w:type="dxa"/>
            <w:bottom w:w="0" w:type="dxa"/>
            <w:right w:w="108" w:type="dxa"/>
          </w:tblCellMar>
        </w:tblPrEx>
        <w:trPr>
          <w:trHeight w:val="285" w:hRule="atLeast"/>
        </w:trPr>
        <w:tc>
          <w:tcPr>
            <w:tcW w:w="2780" w:type="dxa"/>
            <w:tcBorders>
              <w:top w:val="nil"/>
              <w:left w:val="single" w:color="auto" w:sz="4" w:space="0"/>
              <w:bottom w:val="single" w:color="auto" w:sz="4" w:space="0"/>
              <w:right w:val="single" w:color="auto" w:sz="4" w:space="0"/>
            </w:tcBorders>
            <w:shd w:val="clear" w:color="auto" w:fill="auto"/>
            <w:vAlign w:val="center"/>
          </w:tcPr>
          <w:p w14:paraId="2A9EFDC7">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树根互联访客系统</w:t>
            </w:r>
          </w:p>
        </w:tc>
        <w:tc>
          <w:tcPr>
            <w:tcW w:w="4161" w:type="dxa"/>
            <w:tcBorders>
              <w:top w:val="nil"/>
              <w:left w:val="nil"/>
              <w:bottom w:val="single" w:color="auto" w:sz="4" w:space="0"/>
              <w:right w:val="single" w:color="auto" w:sz="4" w:space="0"/>
            </w:tcBorders>
            <w:shd w:val="clear" w:color="auto" w:fill="auto"/>
            <w:vAlign w:val="center"/>
          </w:tcPr>
          <w:p w14:paraId="66B88D8D">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预约访客系统</w:t>
            </w:r>
          </w:p>
        </w:tc>
        <w:tc>
          <w:tcPr>
            <w:tcW w:w="1418" w:type="dxa"/>
            <w:tcBorders>
              <w:top w:val="nil"/>
              <w:left w:val="nil"/>
              <w:bottom w:val="single" w:color="auto" w:sz="4" w:space="0"/>
              <w:right w:val="single" w:color="auto" w:sz="4" w:space="0"/>
            </w:tcBorders>
            <w:shd w:val="clear" w:color="auto" w:fill="auto"/>
            <w:vAlign w:val="center"/>
          </w:tcPr>
          <w:p w14:paraId="511B4DC3">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1套</w:t>
            </w:r>
          </w:p>
        </w:tc>
      </w:tr>
    </w:tbl>
    <w:p w14:paraId="6B3D1893">
      <w:pPr>
        <w:rPr>
          <w:b/>
          <w:bCs/>
        </w:rPr>
      </w:pPr>
      <w:r>
        <w:rPr>
          <w:b/>
          <w:bCs/>
        </w:rPr>
        <w:tab/>
      </w:r>
    </w:p>
    <w:p w14:paraId="6A540955">
      <w:pPr>
        <w:ind w:firstLine="420"/>
        <w:rPr>
          <w:b/>
          <w:bCs/>
        </w:rPr>
      </w:pPr>
      <w:r>
        <w:rPr>
          <w:rFonts w:hint="eastAsia"/>
          <w:b/>
          <w:bCs/>
        </w:rPr>
        <w:t>维保服务：</w:t>
      </w:r>
    </w:p>
    <w:p w14:paraId="7998D5C2">
      <w:pPr>
        <w:ind w:left="420" w:firstLine="420"/>
      </w:pPr>
      <w:r>
        <w:rPr>
          <w:rFonts w:hint="eastAsia"/>
        </w:rPr>
        <w:t>提供【1】年的软件维保服务，包括故障排查与修复，系统巡检与维护，技术咨询及培训服务。</w:t>
      </w:r>
    </w:p>
    <w:p w14:paraId="1635B8B3">
      <w:pPr>
        <w:pStyle w:val="3"/>
      </w:pPr>
      <w:bookmarkStart w:id="8" w:name="_Toc200719632"/>
      <w:r>
        <w:rPr>
          <w:rFonts w:hint="eastAsia"/>
        </w:rPr>
        <w:t>2</w:t>
      </w:r>
      <w:r>
        <w:t>.6</w:t>
      </w:r>
      <w:r>
        <w:rPr>
          <w:rFonts w:hint="eastAsia"/>
        </w:rPr>
        <w:t>．</w:t>
      </w:r>
      <w:r>
        <w:t xml:space="preserve"> </w:t>
      </w:r>
      <w:r>
        <w:rPr>
          <w:rFonts w:hint="eastAsia"/>
        </w:rPr>
        <w:t>英方备份数据库</w:t>
      </w:r>
      <w:bookmarkEnd w:id="8"/>
    </w:p>
    <w:p w14:paraId="526DE12C">
      <w:r>
        <w:tab/>
      </w:r>
      <w:r>
        <w:rPr>
          <w:rFonts w:hint="eastAsia"/>
        </w:rPr>
        <w:t>新采购6节点mysq1连接授权，提供【</w:t>
      </w:r>
      <w:r>
        <w:t>3</w:t>
      </w:r>
      <w:r>
        <w:rPr>
          <w:rFonts w:hint="eastAsia"/>
        </w:rPr>
        <w:t>】年维保服务。</w:t>
      </w:r>
    </w:p>
    <w:p w14:paraId="40451CCD">
      <w:pPr>
        <w:pStyle w:val="3"/>
      </w:pPr>
      <w:bookmarkStart w:id="9" w:name="_Toc200719633"/>
      <w:r>
        <w:rPr>
          <w:rFonts w:hint="eastAsia"/>
        </w:rPr>
        <w:t>2</w:t>
      </w:r>
      <w:r>
        <w:t>.7</w:t>
      </w:r>
      <w:r>
        <w:rPr>
          <w:rFonts w:hint="eastAsia"/>
        </w:rPr>
        <w:t>．</w:t>
      </w:r>
      <w:r>
        <w:t xml:space="preserve"> </w:t>
      </w:r>
      <w:r>
        <w:rPr>
          <w:rFonts w:hint="eastAsia"/>
        </w:rPr>
        <w:t>联想AIO</w:t>
      </w:r>
      <w:bookmarkEnd w:id="9"/>
    </w:p>
    <w:p w14:paraId="407F480C">
      <w:pPr>
        <w:pStyle w:val="20"/>
        <w:spacing w:line="360" w:lineRule="auto"/>
        <w:ind w:firstLineChars="0"/>
        <w:rPr>
          <w:rFonts w:ascii="宋体" w:hAnsi="宋体"/>
          <w:b/>
          <w:bCs/>
        </w:rPr>
      </w:pPr>
      <w:r>
        <w:rPr>
          <w:rFonts w:hint="eastAsia" w:ascii="宋体" w:hAnsi="宋体"/>
          <w:b/>
          <w:bCs/>
        </w:rPr>
        <w:t>规格：</w:t>
      </w:r>
    </w:p>
    <w:p w14:paraId="272A79E0">
      <w:pPr>
        <w:pStyle w:val="20"/>
        <w:numPr>
          <w:ilvl w:val="0"/>
          <w:numId w:val="2"/>
        </w:numPr>
        <w:spacing w:line="360" w:lineRule="auto"/>
        <w:ind w:firstLineChars="0"/>
        <w:rPr>
          <w:rFonts w:ascii="宋体" w:hAnsi="宋体"/>
        </w:rPr>
      </w:pPr>
      <w:r>
        <w:rPr>
          <w:rFonts w:hint="eastAsia" w:ascii="宋体" w:hAnsi="宋体"/>
        </w:rPr>
        <w:t>H3000高级版 ID：2</w:t>
      </w:r>
    </w:p>
    <w:p w14:paraId="40797B8D">
      <w:pPr>
        <w:pStyle w:val="20"/>
        <w:numPr>
          <w:ilvl w:val="0"/>
          <w:numId w:val="2"/>
        </w:numPr>
        <w:spacing w:line="360" w:lineRule="auto"/>
        <w:ind w:firstLineChars="0"/>
        <w:rPr>
          <w:rFonts w:ascii="宋体" w:hAnsi="宋体"/>
        </w:rPr>
      </w:pPr>
      <w:r>
        <w:rPr>
          <w:rFonts w:hint="eastAsia" w:ascii="宋体" w:hAnsi="宋体"/>
        </w:rPr>
        <w:t xml:space="preserve">授权节点：4 </w:t>
      </w:r>
    </w:p>
    <w:p w14:paraId="151C4206">
      <w:pPr>
        <w:pStyle w:val="20"/>
        <w:numPr>
          <w:ilvl w:val="0"/>
          <w:numId w:val="2"/>
        </w:numPr>
        <w:spacing w:line="360" w:lineRule="auto"/>
        <w:ind w:firstLineChars="0"/>
        <w:rPr>
          <w:rFonts w:ascii="宋体" w:hAnsi="宋体"/>
        </w:rPr>
      </w:pPr>
      <w:r>
        <w:rPr>
          <w:rFonts w:hint="eastAsia" w:ascii="宋体" w:hAnsi="宋体"/>
        </w:rPr>
        <w:t>纳管的CPU总数：8</w:t>
      </w:r>
    </w:p>
    <w:p w14:paraId="6E6A547D">
      <w:pPr>
        <w:pStyle w:val="20"/>
        <w:spacing w:line="360" w:lineRule="auto"/>
        <w:ind w:left="420" w:firstLine="0" w:firstLineChars="0"/>
        <w:rPr>
          <w:rFonts w:ascii="宋体" w:hAnsi="宋体"/>
          <w:b/>
          <w:bCs/>
        </w:rPr>
      </w:pPr>
      <w:r>
        <w:rPr>
          <w:rFonts w:hint="eastAsia" w:ascii="宋体" w:hAnsi="宋体"/>
          <w:b/>
          <w:bCs/>
        </w:rPr>
        <w:t>维保服务：</w:t>
      </w:r>
    </w:p>
    <w:p w14:paraId="05EBA2BB">
      <w:pPr>
        <w:pStyle w:val="20"/>
        <w:spacing w:line="360" w:lineRule="auto"/>
        <w:ind w:left="420" w:firstLine="0" w:firstLineChars="0"/>
        <w:rPr>
          <w:rFonts w:ascii="宋体" w:hAnsi="宋体"/>
        </w:rPr>
      </w:pPr>
      <w:r>
        <w:rPr>
          <w:rFonts w:hint="eastAsia" w:ascii="宋体" w:hAnsi="宋体"/>
        </w:rPr>
        <w:t>提供【1】年的超融合软件维保服务。</w:t>
      </w:r>
    </w:p>
    <w:p w14:paraId="5C790493">
      <w:pPr>
        <w:pStyle w:val="3"/>
      </w:pPr>
      <w:bookmarkStart w:id="10" w:name="_Toc200719634"/>
      <w:r>
        <w:rPr>
          <w:rFonts w:hint="eastAsia"/>
        </w:rPr>
        <w:t>2</w:t>
      </w:r>
      <w:r>
        <w:t>.8</w:t>
      </w:r>
      <w:r>
        <w:rPr>
          <w:rFonts w:hint="eastAsia"/>
        </w:rPr>
        <w:t>．</w:t>
      </w:r>
      <w:r>
        <w:t xml:space="preserve"> </w:t>
      </w:r>
      <w:r>
        <w:rPr>
          <w:rFonts w:hint="eastAsia"/>
        </w:rPr>
        <w:t>大华智慧监控平台</w:t>
      </w:r>
      <w:bookmarkEnd w:id="10"/>
    </w:p>
    <w:p w14:paraId="11E5C243">
      <w:r>
        <w:tab/>
      </w:r>
      <w:r>
        <w:rPr>
          <w:rFonts w:hint="eastAsia"/>
        </w:rPr>
        <w:t>针对智慧园区综合管理平台（型号：大华DH-DSS-H8900S3-B），提供【3】年的软硬件续保服务。</w:t>
      </w:r>
    </w:p>
    <w:p w14:paraId="3CCCD9A3">
      <w:pPr>
        <w:pStyle w:val="3"/>
      </w:pPr>
      <w:bookmarkStart w:id="11" w:name="_Toc200719635"/>
      <w:r>
        <w:rPr>
          <w:rFonts w:hint="eastAsia"/>
        </w:rPr>
        <w:t>2</w:t>
      </w:r>
      <w:r>
        <w:t>.9</w:t>
      </w:r>
      <w:r>
        <w:rPr>
          <w:rFonts w:hint="eastAsia"/>
        </w:rPr>
        <w:t>． 在线协同系统账号</w:t>
      </w:r>
      <w:bookmarkEnd w:id="11"/>
    </w:p>
    <w:p w14:paraId="0B06B0CA">
      <w:r>
        <w:tab/>
      </w:r>
      <w:r>
        <w:rPr>
          <w:rFonts w:hint="eastAsia"/>
        </w:rPr>
        <w:t>提供6套WPS365旗舰版，含超级会员权益包，包含【5】年维保服务。</w:t>
      </w:r>
    </w:p>
    <w:p w14:paraId="472E6B7B">
      <w:pPr>
        <w:pStyle w:val="3"/>
      </w:pPr>
      <w:bookmarkStart w:id="12" w:name="_Toc200719636"/>
      <w:r>
        <w:rPr>
          <w:rFonts w:hint="eastAsia"/>
        </w:rPr>
        <w:t>2</w:t>
      </w:r>
      <w:r>
        <w:t xml:space="preserve">.10.  </w:t>
      </w:r>
      <w:r>
        <w:rPr>
          <w:rFonts w:hint="eastAsia"/>
        </w:rPr>
        <w:t>IOT数采网关</w:t>
      </w:r>
      <w:bookmarkEnd w:id="12"/>
    </w:p>
    <w:p w14:paraId="3D5BE9BD">
      <w:pPr>
        <w:pStyle w:val="20"/>
        <w:spacing w:line="360" w:lineRule="auto"/>
        <w:ind w:firstLineChars="0"/>
        <w:rPr>
          <w:rFonts w:ascii="宋体" w:hAnsi="宋体"/>
          <w:b/>
          <w:bCs/>
        </w:rPr>
      </w:pPr>
      <w:r>
        <w:rPr>
          <w:rFonts w:hint="eastAsia" w:ascii="宋体" w:hAnsi="宋体"/>
          <w:b/>
          <w:bCs/>
        </w:rPr>
        <w:t>网关规格：</w:t>
      </w:r>
    </w:p>
    <w:p w14:paraId="7AEC3B07">
      <w:pPr>
        <w:pStyle w:val="20"/>
        <w:numPr>
          <w:ilvl w:val="0"/>
          <w:numId w:val="2"/>
        </w:numPr>
        <w:spacing w:line="360" w:lineRule="auto"/>
        <w:ind w:firstLineChars="0"/>
        <w:rPr>
          <w:rFonts w:ascii="宋体" w:hAnsi="宋体"/>
        </w:rPr>
      </w:pPr>
      <w:r>
        <w:rPr>
          <w:rFonts w:hint="eastAsia" w:ascii="宋体" w:hAnsi="宋体"/>
        </w:rPr>
        <w:t>2路1</w:t>
      </w:r>
      <w:r>
        <w:rPr>
          <w:rFonts w:ascii="宋体" w:hAnsi="宋体"/>
        </w:rPr>
        <w:t>0/100</w:t>
      </w:r>
      <w:r>
        <w:rPr>
          <w:rFonts w:hint="eastAsia" w:ascii="宋体" w:hAnsi="宋体"/>
        </w:rPr>
        <w:t>Mbp自适应以太网接口；</w:t>
      </w:r>
    </w:p>
    <w:p w14:paraId="53A18077">
      <w:pPr>
        <w:pStyle w:val="20"/>
        <w:numPr>
          <w:ilvl w:val="0"/>
          <w:numId w:val="2"/>
        </w:numPr>
        <w:spacing w:line="360" w:lineRule="auto"/>
        <w:ind w:firstLineChars="0"/>
        <w:rPr>
          <w:rFonts w:ascii="宋体" w:hAnsi="宋体"/>
        </w:rPr>
      </w:pPr>
      <w:r>
        <w:rPr>
          <w:rFonts w:hint="eastAsia" w:ascii="宋体" w:hAnsi="宋体"/>
        </w:rPr>
        <w:t>4路RS</w:t>
      </w:r>
      <w:r>
        <w:rPr>
          <w:rFonts w:ascii="宋体" w:hAnsi="宋体"/>
        </w:rPr>
        <w:t>485</w:t>
      </w:r>
      <w:r>
        <w:rPr>
          <w:rFonts w:hint="eastAsia" w:ascii="宋体" w:hAnsi="宋体"/>
        </w:rPr>
        <w:t>串口；</w:t>
      </w:r>
    </w:p>
    <w:p w14:paraId="75CA380F">
      <w:pPr>
        <w:pStyle w:val="20"/>
        <w:numPr>
          <w:ilvl w:val="0"/>
          <w:numId w:val="2"/>
        </w:numPr>
        <w:spacing w:line="360" w:lineRule="auto"/>
        <w:ind w:firstLineChars="0"/>
        <w:rPr>
          <w:rFonts w:ascii="宋体" w:hAnsi="宋体"/>
        </w:rPr>
      </w:pPr>
      <w:r>
        <w:rPr>
          <w:rFonts w:hint="eastAsia" w:ascii="宋体" w:hAnsi="宋体"/>
        </w:rPr>
        <w:t>系统容量2</w:t>
      </w:r>
      <w:r>
        <w:rPr>
          <w:rFonts w:ascii="宋体" w:hAnsi="宋体"/>
        </w:rPr>
        <w:t>000</w:t>
      </w:r>
      <w:r>
        <w:rPr>
          <w:rFonts w:hint="eastAsia" w:ascii="宋体" w:hAnsi="宋体"/>
        </w:rPr>
        <w:t>点；</w:t>
      </w:r>
    </w:p>
    <w:p w14:paraId="69D587B1">
      <w:pPr>
        <w:pStyle w:val="20"/>
        <w:numPr>
          <w:ilvl w:val="0"/>
          <w:numId w:val="2"/>
        </w:numPr>
        <w:spacing w:line="360" w:lineRule="auto"/>
        <w:ind w:firstLineChars="0"/>
        <w:rPr>
          <w:rFonts w:ascii="宋体" w:hAnsi="宋体"/>
        </w:rPr>
      </w:pPr>
      <w:r>
        <w:rPr>
          <w:rFonts w:hint="eastAsia" w:ascii="宋体" w:hAnsi="宋体"/>
        </w:rPr>
        <w:t>4G全网通。</w:t>
      </w:r>
    </w:p>
    <w:p w14:paraId="74A96019">
      <w:pPr>
        <w:pStyle w:val="20"/>
        <w:spacing w:line="360" w:lineRule="auto"/>
        <w:ind w:firstLineChars="0"/>
        <w:rPr>
          <w:rFonts w:ascii="宋体" w:hAnsi="宋体"/>
          <w:b/>
          <w:bCs/>
        </w:rPr>
      </w:pPr>
      <w:r>
        <w:rPr>
          <w:rFonts w:hint="eastAsia" w:ascii="宋体" w:hAnsi="宋体"/>
          <w:b/>
          <w:bCs/>
        </w:rPr>
        <w:t>验收标准：</w:t>
      </w:r>
    </w:p>
    <w:p w14:paraId="58E6A477">
      <w:pPr>
        <w:pStyle w:val="20"/>
        <w:spacing w:line="360" w:lineRule="auto"/>
        <w:ind w:firstLineChars="0"/>
        <w:rPr>
          <w:rFonts w:ascii="宋体" w:hAnsi="宋体"/>
        </w:rPr>
      </w:pPr>
      <w:r>
        <w:rPr>
          <w:rFonts w:hint="eastAsia" w:ascii="宋体" w:hAnsi="宋体"/>
        </w:rPr>
        <w:t>1、3</w:t>
      </w:r>
      <w:r>
        <w:rPr>
          <w:rFonts w:ascii="宋体" w:hAnsi="宋体"/>
        </w:rPr>
        <w:t>0</w:t>
      </w:r>
      <w:r>
        <w:rPr>
          <w:rFonts w:hint="eastAsia" w:ascii="宋体" w:hAnsi="宋体"/>
        </w:rPr>
        <w:t>台网关到货签收，加电正常，有甲方签署验收单，完成网关到货验收。</w:t>
      </w:r>
    </w:p>
    <w:p w14:paraId="7C77CB93">
      <w:pPr>
        <w:pStyle w:val="20"/>
        <w:spacing w:line="360" w:lineRule="auto"/>
        <w:ind w:firstLineChars="0"/>
        <w:rPr>
          <w:rFonts w:ascii="宋体" w:hAnsi="宋体"/>
        </w:rPr>
      </w:pPr>
      <w:r>
        <w:rPr>
          <w:rFonts w:hint="eastAsia" w:ascii="宋体" w:hAnsi="宋体"/>
        </w:rPr>
        <w:t>2、3</w:t>
      </w:r>
      <w:r>
        <w:rPr>
          <w:rFonts w:ascii="宋体" w:hAnsi="宋体"/>
        </w:rPr>
        <w:t>0</w:t>
      </w:r>
      <w:r>
        <w:rPr>
          <w:rFonts w:hint="eastAsia" w:ascii="宋体" w:hAnsi="宋体"/>
        </w:rPr>
        <w:t>台网关数据接入新天钢冷轧薄板有限公司IOT平台（根云平台V</w:t>
      </w:r>
      <w:r>
        <w:rPr>
          <w:rFonts w:ascii="宋体" w:hAnsi="宋体"/>
        </w:rPr>
        <w:t>4.0</w:t>
      </w:r>
      <w:r>
        <w:rPr>
          <w:rFonts w:hint="eastAsia" w:ascii="宋体" w:hAnsi="宋体"/>
        </w:rPr>
        <w:t>）（不包含前端数据接入网关服务），由甲方签署验收报告，完成网关数据接入IOT服务验收。</w:t>
      </w:r>
    </w:p>
    <w:p w14:paraId="6A844F43">
      <w:pPr>
        <w:pStyle w:val="20"/>
        <w:spacing w:line="360" w:lineRule="auto"/>
        <w:ind w:firstLineChars="0"/>
        <w:rPr>
          <w:rFonts w:ascii="宋体" w:hAnsi="宋体"/>
          <w:b/>
          <w:bCs/>
        </w:rPr>
      </w:pPr>
      <w:r>
        <w:rPr>
          <w:rFonts w:hint="eastAsia" w:ascii="宋体" w:hAnsi="宋体"/>
          <w:b/>
          <w:bCs/>
        </w:rPr>
        <w:t>维保服务：</w:t>
      </w:r>
    </w:p>
    <w:p w14:paraId="3FC36F09">
      <w:pPr>
        <w:pStyle w:val="20"/>
        <w:spacing w:line="360" w:lineRule="auto"/>
        <w:ind w:firstLineChars="0"/>
        <w:rPr>
          <w:rFonts w:ascii="宋体" w:hAnsi="宋体"/>
        </w:rPr>
      </w:pPr>
      <w:r>
        <w:rPr>
          <w:rFonts w:hint="eastAsia" w:ascii="宋体" w:hAnsi="宋体"/>
        </w:rPr>
        <w:t>质保期为【3】年，自乙方将3</w:t>
      </w:r>
      <w:r>
        <w:rPr>
          <w:rFonts w:ascii="宋体" w:hAnsi="宋体"/>
        </w:rPr>
        <w:t>0</w:t>
      </w:r>
      <w:r>
        <w:rPr>
          <w:rFonts w:hint="eastAsia" w:ascii="宋体" w:hAnsi="宋体"/>
        </w:rPr>
        <w:t>台网关交付给甲方到货签收之次日起计算。</w:t>
      </w:r>
    </w:p>
    <w:p w14:paraId="3708977C">
      <w:pPr>
        <w:pStyle w:val="3"/>
      </w:pPr>
      <w:bookmarkStart w:id="13" w:name="_Toc200719637"/>
      <w:r>
        <w:rPr>
          <w:rFonts w:hint="eastAsia"/>
        </w:rPr>
        <w:t>2</w:t>
      </w:r>
      <w:r>
        <w:t>.11.</w:t>
      </w:r>
      <w:r>
        <w:tab/>
      </w:r>
      <w:r>
        <w:rPr>
          <w:rFonts w:hint="eastAsia"/>
        </w:rPr>
        <w:t>网络安全证书</w:t>
      </w:r>
      <w:bookmarkEnd w:id="13"/>
    </w:p>
    <w:p w14:paraId="006FEFB7">
      <w:pPr>
        <w:rPr>
          <w:rFonts w:hint="eastAsia"/>
        </w:rPr>
      </w:pPr>
      <w:r>
        <w:tab/>
      </w:r>
      <w:r>
        <w:rPr>
          <w:rFonts w:hint="eastAsia"/>
        </w:rPr>
        <w:t>提供中域永信SSL企业级OV单域名tjgangban.com证书（十年授权）1套。</w:t>
      </w:r>
    </w:p>
    <w:p w14:paraId="09F48314">
      <w:pPr>
        <w:pStyle w:val="2"/>
      </w:pPr>
      <w:bookmarkStart w:id="14" w:name="_Toc200719638"/>
      <w:r>
        <w:t>3</w:t>
      </w:r>
      <w:r>
        <w:rPr>
          <w:rFonts w:hint="eastAsia"/>
        </w:rPr>
        <w:t>．</w:t>
      </w:r>
      <w:r>
        <w:t xml:space="preserve"> V</w:t>
      </w:r>
      <w:r>
        <w:rPr>
          <w:rFonts w:hint="eastAsia"/>
        </w:rPr>
        <w:t>lan改造</w:t>
      </w:r>
      <w:bookmarkEnd w:id="14"/>
    </w:p>
    <w:p w14:paraId="758A391E">
      <w:pPr>
        <w:pStyle w:val="20"/>
        <w:spacing w:line="360" w:lineRule="auto"/>
        <w:ind w:firstLineChars="0"/>
        <w:rPr>
          <w:rFonts w:ascii="宋体" w:hAnsi="宋体"/>
        </w:rPr>
      </w:pPr>
      <w:r>
        <w:rPr>
          <w:rFonts w:hint="eastAsia" w:ascii="宋体" w:hAnsi="宋体"/>
        </w:rPr>
        <w:t>调整超融合虚拟化分布式交换机（DVS）及对应物理交换机端口的vlan,根据业务需求，从原有的65段，更改为全网段，调整完成后进行网络验证，确保业务能够正常运行，各主机、虚拟机之间网络正常通讯。</w:t>
      </w:r>
    </w:p>
    <w:p w14:paraId="08D053DA">
      <w:pPr>
        <w:pStyle w:val="2"/>
      </w:pPr>
      <w:bookmarkStart w:id="15" w:name="_Toc200719639"/>
      <w:r>
        <w:t>4</w:t>
      </w:r>
      <w:r>
        <w:rPr>
          <w:rFonts w:hint="eastAsia"/>
        </w:rPr>
        <w:t>．</w:t>
      </w:r>
      <w:r>
        <w:t xml:space="preserve"> </w:t>
      </w:r>
      <w:r>
        <w:rPr>
          <w:rFonts w:hint="eastAsia"/>
        </w:rPr>
        <w:t>虚拟机迁移</w:t>
      </w:r>
      <w:bookmarkEnd w:id="15"/>
    </w:p>
    <w:p w14:paraId="64DEE6D4">
      <w:pPr>
        <w:pStyle w:val="20"/>
        <w:spacing w:line="360" w:lineRule="auto"/>
        <w:ind w:firstLineChars="0"/>
        <w:rPr>
          <w:rFonts w:ascii="宋体" w:hAnsi="宋体"/>
        </w:rPr>
      </w:pPr>
      <w:r>
        <w:rPr>
          <w:rFonts w:hint="eastAsia" w:ascii="宋体" w:hAnsi="宋体"/>
        </w:rPr>
        <w:t>根据业务需求将华三超融合部分虚拟机迁移至华为超融合，根据现网情况分配实施人员以及责任分工，提前准备和部署迁移软件，制定虚拟机迁移时间计划，以及迁移后的一致性验证，确保虚拟机迁移后数据无丢失，虚拟机可正常运行。</w:t>
      </w:r>
    </w:p>
    <w:p w14:paraId="6FCDCD29">
      <w:pPr>
        <w:pStyle w:val="2"/>
      </w:pPr>
      <w:bookmarkStart w:id="16" w:name="_Toc200719640"/>
      <w:r>
        <w:t>5</w:t>
      </w:r>
      <w:r>
        <w:rPr>
          <w:rFonts w:hint="eastAsia"/>
        </w:rPr>
        <w:t>．</w:t>
      </w:r>
      <w:r>
        <w:t xml:space="preserve"> </w:t>
      </w:r>
      <w:r>
        <w:rPr>
          <w:rFonts w:hint="eastAsia"/>
        </w:rPr>
        <w:t>故障处理流程</w:t>
      </w:r>
      <w:bookmarkEnd w:id="16"/>
    </w:p>
    <w:p w14:paraId="45448E23">
      <w:pPr>
        <w:pStyle w:val="20"/>
        <w:spacing w:line="360" w:lineRule="auto"/>
        <w:ind w:firstLineChars="0"/>
        <w:rPr>
          <w:rFonts w:ascii="宋体" w:hAnsi="宋体"/>
        </w:rPr>
      </w:pPr>
      <w:r>
        <w:rPr>
          <w:rFonts w:hint="eastAsia" w:ascii="宋体" w:hAnsi="宋体"/>
        </w:rPr>
        <w:t>1投诉受理：乙方的售后服务管理中心设置了专门的故障投诉受理热线电话，由专人</w:t>
      </w:r>
      <w:r>
        <w:rPr>
          <w:rFonts w:ascii="宋体" w:hAnsi="宋体"/>
        </w:rPr>
        <w:t>5</w:t>
      </w:r>
      <w:r>
        <w:rPr>
          <w:rFonts w:hint="eastAsia" w:ascii="宋体" w:hAnsi="宋体"/>
        </w:rPr>
        <w:t>x</w:t>
      </w:r>
      <w:r>
        <w:rPr>
          <w:rFonts w:ascii="宋体" w:hAnsi="宋体"/>
        </w:rPr>
        <w:t>10</w:t>
      </w:r>
      <w:r>
        <w:rPr>
          <w:rFonts w:hint="eastAsia" w:ascii="宋体" w:hAnsi="宋体"/>
        </w:rPr>
        <w:t>小时受理。电话：400-868-1122。</w:t>
      </w:r>
    </w:p>
    <w:p w14:paraId="720DB273">
      <w:pPr>
        <w:pStyle w:val="20"/>
        <w:spacing w:line="360" w:lineRule="auto"/>
        <w:ind w:firstLineChars="0"/>
        <w:rPr>
          <w:rFonts w:ascii="宋体" w:hAnsi="宋体"/>
        </w:rPr>
      </w:pPr>
      <w:r>
        <w:rPr>
          <w:rFonts w:hint="eastAsia" w:ascii="宋体" w:hAnsi="宋体"/>
        </w:rPr>
        <w:t>2故障工单派发：乙方收到客户故障申告或投诉后，乙方客服人员第一时间派发故障工单至维护工程师，并电话通知负责处理的维护工程师（防止工单通知短信收不到而造成故障处理延误）。</w:t>
      </w:r>
    </w:p>
    <w:p w14:paraId="1283C889">
      <w:pPr>
        <w:pStyle w:val="20"/>
        <w:spacing w:line="360" w:lineRule="auto"/>
        <w:ind w:firstLineChars="0"/>
        <w:rPr>
          <w:rFonts w:ascii="宋体" w:hAnsi="宋体"/>
        </w:rPr>
      </w:pPr>
      <w:r>
        <w:rPr>
          <w:rFonts w:hint="eastAsia" w:ascii="宋体" w:hAnsi="宋体"/>
        </w:rPr>
        <w:t>3故障处理：维护工程师收到故障工单短信及电话通知后，第一时间进行响应处理，针对疑难故障或跨专业故障可申请技术支撑团队协同处理。</w:t>
      </w:r>
    </w:p>
    <w:p w14:paraId="64B0F2D4">
      <w:pPr>
        <w:pStyle w:val="20"/>
        <w:spacing w:line="360" w:lineRule="auto"/>
        <w:ind w:firstLineChars="0"/>
        <w:rPr>
          <w:rFonts w:ascii="宋体" w:hAnsi="宋体"/>
        </w:rPr>
      </w:pPr>
      <w:r>
        <w:rPr>
          <w:rFonts w:hint="eastAsia" w:ascii="宋体" w:hAnsi="宋体"/>
        </w:rPr>
        <w:t>4故障闭环：故障处理完毕后，维护工程师回复工单处理结果并电话通知客服小组，客服人员报结工单，将故障流程闭环。</w:t>
      </w:r>
    </w:p>
    <w:p w14:paraId="312F60C3">
      <w:pPr>
        <w:pStyle w:val="2"/>
      </w:pPr>
      <w:bookmarkStart w:id="17" w:name="_Toc200719641"/>
      <w:r>
        <w:t>6</w:t>
      </w:r>
      <w:r>
        <w:rPr>
          <w:rFonts w:hint="eastAsia"/>
        </w:rPr>
        <w:t>．</w:t>
      </w:r>
      <w:r>
        <w:t xml:space="preserve"> </w:t>
      </w:r>
      <w:r>
        <w:rPr>
          <w:rFonts w:hint="eastAsia"/>
        </w:rPr>
        <w:t>服务相关补充说明</w:t>
      </w:r>
      <w:bookmarkEnd w:id="17"/>
    </w:p>
    <w:p w14:paraId="019FD9BB">
      <w:pPr>
        <w:pStyle w:val="20"/>
        <w:spacing w:line="360" w:lineRule="auto"/>
        <w:ind w:firstLineChars="0"/>
        <w:rPr>
          <w:rFonts w:ascii="宋体" w:hAnsi="宋体"/>
        </w:rPr>
      </w:pPr>
      <w:r>
        <w:rPr>
          <w:rFonts w:hint="eastAsia" w:ascii="宋体" w:hAnsi="宋体"/>
        </w:rPr>
        <w:t>1客户需提供开展服务支持工作所需的场地、设备、必要的环境及远程访问通道、权限、相关的日志、错误信息等，协助开展服务。</w:t>
      </w:r>
    </w:p>
    <w:p w14:paraId="36CECFE7">
      <w:pPr>
        <w:pStyle w:val="20"/>
        <w:spacing w:line="360" w:lineRule="auto"/>
        <w:ind w:firstLineChars="0"/>
        <w:rPr>
          <w:rFonts w:ascii="宋体" w:hAnsi="宋体"/>
        </w:rPr>
      </w:pPr>
      <w:r>
        <w:rPr>
          <w:rFonts w:ascii="宋体" w:hAnsi="宋体"/>
        </w:rPr>
        <w:t>2</w:t>
      </w:r>
      <w:r>
        <w:rPr>
          <w:rFonts w:hint="eastAsia" w:ascii="宋体" w:hAnsi="宋体"/>
        </w:rPr>
        <w:t>客户反馈相关检查配合及整改中所有安全审计类工作，配合相关要求进行安全检查类工作，按照实际工作量单独结算费用。</w:t>
      </w:r>
    </w:p>
    <w:p w14:paraId="370AA104">
      <w:pPr>
        <w:pStyle w:val="20"/>
        <w:spacing w:line="360" w:lineRule="auto"/>
        <w:ind w:firstLineChars="0"/>
        <w:rPr>
          <w:rFonts w:ascii="宋体" w:hAnsi="宋体"/>
        </w:rPr>
      </w:pPr>
      <w:r>
        <w:rPr>
          <w:rFonts w:ascii="宋体" w:hAnsi="宋体"/>
        </w:rPr>
        <w:t>3</w:t>
      </w:r>
      <w:r>
        <w:rPr>
          <w:rFonts w:hint="eastAsia" w:ascii="宋体" w:hAnsi="宋体"/>
        </w:rPr>
        <w:t>原则上树根不负责非树根销售产品的（如第三方软件、应用系统）的运维支持工作。</w:t>
      </w:r>
    </w:p>
    <w:p w14:paraId="2DCFF6F6">
      <w:pPr>
        <w:pStyle w:val="20"/>
        <w:spacing w:line="360" w:lineRule="auto"/>
        <w:ind w:firstLineChars="0"/>
        <w:rPr>
          <w:rFonts w:ascii="宋体" w:hAnsi="宋体"/>
        </w:rPr>
      </w:pPr>
      <w:r>
        <w:rPr>
          <w:rFonts w:ascii="宋体" w:hAnsi="宋体"/>
        </w:rPr>
        <w:t>4</w:t>
      </w:r>
      <w:r>
        <w:rPr>
          <w:rFonts w:hint="eastAsia" w:ascii="宋体" w:hAnsi="宋体"/>
        </w:rPr>
        <w:t>树根不提供驻场服务，如需提供驻场服务需另行协商约定。</w:t>
      </w:r>
    </w:p>
    <w:p w14:paraId="1E421369">
      <w:pPr>
        <w:pStyle w:val="20"/>
        <w:spacing w:line="360" w:lineRule="auto"/>
        <w:ind w:firstLineChars="0"/>
        <w:rPr>
          <w:rFonts w:ascii="宋体" w:hAnsi="宋体"/>
        </w:rPr>
      </w:pPr>
      <w:r>
        <w:rPr>
          <w:rFonts w:ascii="宋体" w:hAnsi="宋体"/>
        </w:rPr>
        <w:t>5</w:t>
      </w:r>
      <w:r>
        <w:rPr>
          <w:rFonts w:hint="eastAsia" w:ascii="宋体" w:hAnsi="宋体"/>
        </w:rPr>
        <w:t>如有产品升级或迁移需求，需另行协商约定。</w:t>
      </w:r>
    </w:p>
    <w:p w14:paraId="67EF6707">
      <w:pPr>
        <w:pStyle w:val="2"/>
      </w:pPr>
      <w:bookmarkStart w:id="18" w:name="_Toc200719642"/>
      <w:r>
        <w:t>7</w:t>
      </w:r>
      <w:r>
        <w:rPr>
          <w:rFonts w:hint="eastAsia"/>
        </w:rPr>
        <w:t>．</w:t>
      </w:r>
      <w:r>
        <w:t xml:space="preserve"> </w:t>
      </w:r>
      <w:r>
        <w:rPr>
          <w:rFonts w:hint="eastAsia"/>
        </w:rPr>
        <w:t>服务免责声明</w:t>
      </w:r>
      <w:bookmarkEnd w:id="18"/>
    </w:p>
    <w:p w14:paraId="6650671C">
      <w:pPr>
        <w:pStyle w:val="20"/>
        <w:spacing w:line="360" w:lineRule="auto"/>
        <w:ind w:firstLineChars="0"/>
        <w:rPr>
          <w:rFonts w:ascii="宋体" w:hAnsi="宋体"/>
        </w:rPr>
      </w:pPr>
      <w:r>
        <w:rPr>
          <w:rFonts w:hint="eastAsia" w:ascii="宋体" w:hAnsi="宋体"/>
        </w:rPr>
        <w:t>1合同及技术协议约定外新功能的代码开发与调试。</w:t>
      </w:r>
    </w:p>
    <w:p w14:paraId="359088C5">
      <w:pPr>
        <w:pStyle w:val="20"/>
        <w:spacing w:line="360" w:lineRule="auto"/>
        <w:ind w:firstLineChars="0"/>
        <w:rPr>
          <w:rFonts w:ascii="宋体" w:hAnsi="宋体"/>
        </w:rPr>
      </w:pPr>
      <w:r>
        <w:rPr>
          <w:rFonts w:hint="eastAsia" w:ascii="宋体" w:hAnsi="宋体"/>
        </w:rPr>
        <w:t>2由于火灾、水灾、电击、地震等不可抗拒因素造成的产品故障。</w:t>
      </w:r>
    </w:p>
    <w:p w14:paraId="04DBC11E">
      <w:pPr>
        <w:pStyle w:val="20"/>
        <w:spacing w:line="360" w:lineRule="auto"/>
        <w:ind w:firstLineChars="0"/>
        <w:rPr>
          <w:rFonts w:ascii="宋体" w:hAnsi="宋体"/>
        </w:rPr>
      </w:pPr>
      <w:r>
        <w:rPr>
          <w:rFonts w:hint="eastAsia" w:ascii="宋体" w:hAnsi="宋体"/>
        </w:rPr>
        <w:t>3由于工业事故、误用、滥用（未遵照随产品所附之安装说明书所示的使用方法、使用环境和注意事项进行操作）或者电路板电子元件的严重烧毁等故障。</w:t>
      </w:r>
    </w:p>
    <w:p w14:paraId="7D8C3D50">
      <w:pPr>
        <w:pStyle w:val="20"/>
        <w:spacing w:line="360" w:lineRule="auto"/>
        <w:ind w:firstLineChars="0"/>
        <w:rPr>
          <w:rFonts w:ascii="宋体" w:hAnsi="宋体"/>
        </w:rPr>
      </w:pPr>
      <w:r>
        <w:rPr>
          <w:rFonts w:hint="eastAsia" w:ascii="宋体" w:hAnsi="宋体"/>
        </w:rPr>
        <w:t>4遭受未经我公司授权许可的人员对产品进行了拆卸、维修或者改装，造成产品出现故障，由于客户安装不当造成产品外壳有严重破损或严重刮伤等现象。</w:t>
      </w:r>
    </w:p>
    <w:p w14:paraId="081926B8">
      <w:pPr>
        <w:pStyle w:val="20"/>
        <w:spacing w:line="360" w:lineRule="auto"/>
        <w:ind w:firstLineChars="0"/>
        <w:rPr>
          <w:rFonts w:ascii="宋体" w:hAnsi="宋体"/>
        </w:rPr>
      </w:pPr>
      <w:r>
        <w:rPr>
          <w:rFonts w:hint="eastAsia" w:ascii="宋体" w:hAnsi="宋体"/>
        </w:rPr>
        <w:t>5软件产品更新、升级期间出现的问题处理时效不适用SLA，每次产品更新、升级后包含三个工作日的免责期，该期间丢失的数据不在数据完整性的保障内，进行重大升级时可能需要停机使用，在此阶段可能不能保证系统可运行。</w:t>
      </w:r>
    </w:p>
    <w:p w14:paraId="47EF0FAC">
      <w:pPr>
        <w:pStyle w:val="20"/>
        <w:spacing w:line="360" w:lineRule="auto"/>
        <w:ind w:firstLineChars="0"/>
        <w:rPr>
          <w:rFonts w:ascii="宋体" w:hAnsi="宋体"/>
        </w:rPr>
      </w:pPr>
      <w:r>
        <w:rPr>
          <w:rFonts w:hint="eastAsia" w:ascii="宋体" w:hAnsi="宋体"/>
        </w:rPr>
        <w:t>6因第三方系统的服务器崩溃等原因，致使第三方系统请求平台数据失败时，需由第三方自行解决；</w:t>
      </w:r>
    </w:p>
    <w:p w14:paraId="3939277B">
      <w:pPr>
        <w:pStyle w:val="20"/>
        <w:spacing w:line="360" w:lineRule="auto"/>
        <w:ind w:firstLineChars="0"/>
        <w:rPr>
          <w:rFonts w:ascii="宋体" w:hAnsi="宋体"/>
        </w:rPr>
      </w:pPr>
      <w:r>
        <w:rPr>
          <w:rFonts w:hint="eastAsia" w:ascii="宋体" w:hAnsi="宋体"/>
        </w:rPr>
        <w:t>7上述承诺的服务均为人力服务，不包含新增硬件新购等内容。若需要增购相关额外内容，需双方额外协商报价购买；</w:t>
      </w:r>
    </w:p>
    <w:p w14:paraId="50D344A1">
      <w:pPr>
        <w:pStyle w:val="20"/>
        <w:spacing w:line="360" w:lineRule="auto"/>
        <w:ind w:firstLineChars="0"/>
        <w:rPr>
          <w:rFonts w:ascii="宋体" w:hAnsi="宋体"/>
        </w:rPr>
      </w:pPr>
      <w:r>
        <w:rPr>
          <w:rFonts w:ascii="宋体" w:hAnsi="宋体"/>
        </w:rPr>
        <w:t>8</w:t>
      </w:r>
      <w:r>
        <w:rPr>
          <w:rFonts w:hint="eastAsia" w:ascii="宋体" w:hAnsi="宋体"/>
        </w:rPr>
        <w:t>运维服务商不承担因业主运营违反当地法律法规导致的任何连带责任。</w:t>
      </w:r>
    </w:p>
    <w:p w14:paraId="53FCBAC4">
      <w:pPr>
        <w:pStyle w:val="20"/>
        <w:spacing w:line="360" w:lineRule="auto"/>
        <w:ind w:firstLineChars="0"/>
        <w:rPr>
          <w:rFonts w:ascii="宋体" w:hAnsi="宋体"/>
        </w:rPr>
      </w:pPr>
      <w:r>
        <w:rPr>
          <w:rFonts w:ascii="宋体" w:hAnsi="宋体"/>
        </w:rPr>
        <w:t>9</w:t>
      </w:r>
      <w:r>
        <w:rPr>
          <w:rFonts w:hint="eastAsia" w:ascii="宋体" w:hAnsi="宋体"/>
        </w:rPr>
        <w:t>针对数据清洗与数据提取只会在客户授权声明的前提下进行。</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Helvetica Neue">
    <w:altName w:val="Sylfaen"/>
    <w:panose1 w:val="00000000000000000000"/>
    <w:charset w:val="00"/>
    <w:family w:val="auto"/>
    <w:pitch w:val="default"/>
    <w:sig w:usb0="00000000" w:usb1="00000000" w:usb2="00000010" w:usb3="00000000" w:csb0="00000000" w:csb1="00000000"/>
  </w:font>
  <w:font w:name="Sylfaen">
    <w:panose1 w:val="010A0502050306030303"/>
    <w:charset w:val="00"/>
    <w:family w:val="auto"/>
    <w:pitch w:val="default"/>
    <w:sig w:usb0="040006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15526D"/>
    <w:multiLevelType w:val="multilevel"/>
    <w:tmpl w:val="0715526D"/>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0EE64157"/>
    <w:multiLevelType w:val="multilevel"/>
    <w:tmpl w:val="0EE64157"/>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5NGIxMDk1ZGU0YTA4NDcwZDhlYzNkMmI5MWMzZmQifQ=="/>
    <w:docVar w:name="KSO_WPS_MARK_KEY" w:val="be5829a1-c65d-440b-8203-e65f1e2eefee"/>
  </w:docVars>
  <w:rsids>
    <w:rsidRoot w:val="0028343A"/>
    <w:rsid w:val="00040D80"/>
    <w:rsid w:val="000930D7"/>
    <w:rsid w:val="00144DAB"/>
    <w:rsid w:val="0028343A"/>
    <w:rsid w:val="002B639C"/>
    <w:rsid w:val="002C7DD3"/>
    <w:rsid w:val="003825DB"/>
    <w:rsid w:val="003F1DC6"/>
    <w:rsid w:val="004777E3"/>
    <w:rsid w:val="004A351C"/>
    <w:rsid w:val="004D6393"/>
    <w:rsid w:val="00547D28"/>
    <w:rsid w:val="00633BAA"/>
    <w:rsid w:val="006E4AA1"/>
    <w:rsid w:val="007242E1"/>
    <w:rsid w:val="008A009E"/>
    <w:rsid w:val="009F3FF5"/>
    <w:rsid w:val="00A969D5"/>
    <w:rsid w:val="00AC21A4"/>
    <w:rsid w:val="00B3624D"/>
    <w:rsid w:val="00B74334"/>
    <w:rsid w:val="00C24FCA"/>
    <w:rsid w:val="00C55C0C"/>
    <w:rsid w:val="00C729AE"/>
    <w:rsid w:val="00C90EAD"/>
    <w:rsid w:val="00CA1CF2"/>
    <w:rsid w:val="00D61F40"/>
    <w:rsid w:val="00DB62C0"/>
    <w:rsid w:val="00E816ED"/>
    <w:rsid w:val="00F04B31"/>
    <w:rsid w:val="00F71D73"/>
    <w:rsid w:val="00F751B2"/>
    <w:rsid w:val="00F769F0"/>
    <w:rsid w:val="47472FE1"/>
    <w:rsid w:val="60FC4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6"/>
    <w:semiHidden/>
    <w:unhideWhenUsed/>
    <w:uiPriority w:val="99"/>
    <w:pPr>
      <w:jc w:val="left"/>
    </w:pPr>
  </w:style>
  <w:style w:type="paragraph" w:styleId="5">
    <w:name w:val="Date"/>
    <w:basedOn w:val="1"/>
    <w:next w:val="1"/>
    <w:link w:val="25"/>
    <w:semiHidden/>
    <w:unhideWhenUsed/>
    <w:uiPriority w:val="99"/>
    <w:pPr>
      <w:ind w:left="100" w:leftChars="2500"/>
    </w:pPr>
  </w:style>
  <w:style w:type="paragraph" w:styleId="6">
    <w:name w:val="footer"/>
    <w:basedOn w:val="1"/>
    <w:link w:val="23"/>
    <w:unhideWhenUsed/>
    <w:uiPriority w:val="99"/>
    <w:pPr>
      <w:tabs>
        <w:tab w:val="center" w:pos="4153"/>
        <w:tab w:val="right" w:pos="8306"/>
      </w:tabs>
      <w:snapToGrid w:val="0"/>
      <w:jc w:val="left"/>
    </w:pPr>
    <w:rPr>
      <w:sz w:val="18"/>
      <w:szCs w:val="18"/>
    </w:rPr>
  </w:style>
  <w:style w:type="paragraph" w:styleId="7">
    <w:name w:val="header"/>
    <w:basedOn w:val="1"/>
    <w:link w:val="22"/>
    <w:unhideWhenUsed/>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unhideWhenUsed/>
    <w:uiPriority w:val="39"/>
    <w:pPr>
      <w:tabs>
        <w:tab w:val="right" w:leader="dot" w:pos="8296"/>
      </w:tabs>
      <w:spacing w:line="480" w:lineRule="auto"/>
    </w:pPr>
  </w:style>
  <w:style w:type="paragraph" w:styleId="9">
    <w:name w:val="toc 2"/>
    <w:basedOn w:val="1"/>
    <w:next w:val="1"/>
    <w:autoRedefine/>
    <w:unhideWhenUsed/>
    <w:qFormat/>
    <w:uiPriority w:val="39"/>
    <w:pPr>
      <w:ind w:left="420" w:leftChars="200"/>
    </w:pPr>
  </w:style>
  <w:style w:type="paragraph" w:styleId="10">
    <w:name w:val="Title"/>
    <w:basedOn w:val="1"/>
    <w:next w:val="1"/>
    <w:link w:val="17"/>
    <w:qFormat/>
    <w:uiPriority w:val="10"/>
    <w:pPr>
      <w:spacing w:before="240" w:after="60"/>
      <w:jc w:val="center"/>
      <w:outlineLvl w:val="0"/>
    </w:pPr>
    <w:rPr>
      <w:rFonts w:ascii="Calibri Light" w:hAnsi="Calibri Light"/>
      <w:b/>
      <w:bCs/>
      <w:sz w:val="32"/>
      <w:szCs w:val="32"/>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uiPriority w:val="99"/>
    <w:rPr>
      <w:color w:val="0000FF"/>
      <w:u w:val="single"/>
    </w:rPr>
  </w:style>
  <w:style w:type="character" w:customStyle="1" w:styleId="15">
    <w:name w:val="标题 1 字符"/>
    <w:basedOn w:val="13"/>
    <w:link w:val="2"/>
    <w:qFormat/>
    <w:uiPriority w:val="0"/>
    <w:rPr>
      <w:rFonts w:ascii="Times New Roman" w:hAnsi="Times New Roman" w:eastAsia="宋体" w:cs="Times New Roman"/>
      <w:b/>
      <w:bCs/>
      <w:kern w:val="44"/>
      <w:sz w:val="44"/>
      <w:szCs w:val="44"/>
    </w:rPr>
  </w:style>
  <w:style w:type="character" w:customStyle="1" w:styleId="16">
    <w:name w:val="批注文字 字符"/>
    <w:basedOn w:val="13"/>
    <w:link w:val="4"/>
    <w:semiHidden/>
    <w:uiPriority w:val="99"/>
    <w:rPr>
      <w:rFonts w:ascii="Times New Roman" w:hAnsi="Times New Roman" w:eastAsia="宋体" w:cs="Times New Roman"/>
      <w:szCs w:val="24"/>
    </w:rPr>
  </w:style>
  <w:style w:type="character" w:customStyle="1" w:styleId="17">
    <w:name w:val="标题 字符"/>
    <w:basedOn w:val="13"/>
    <w:link w:val="10"/>
    <w:qFormat/>
    <w:uiPriority w:val="10"/>
    <w:rPr>
      <w:rFonts w:ascii="Calibri Light" w:hAnsi="Calibri Light" w:eastAsia="宋体" w:cs="Times New Roman"/>
      <w:b/>
      <w:bCs/>
      <w:sz w:val="32"/>
      <w:szCs w:val="32"/>
    </w:rPr>
  </w:style>
  <w:style w:type="character" w:customStyle="1" w:styleId="18">
    <w:name w:val="正文 A Char"/>
    <w:link w:val="19"/>
    <w:qFormat/>
    <w:locked/>
    <w:uiPriority w:val="0"/>
    <w:rPr>
      <w:rFonts w:ascii="Times New Roman" w:hAnsi="Times New Roman" w:eastAsia="Times New Roman" w:cs="Times New Roman"/>
      <w:color w:val="000000"/>
      <w:szCs w:val="21"/>
      <w:u w:color="000000"/>
    </w:rPr>
  </w:style>
  <w:style w:type="paragraph" w:customStyle="1" w:styleId="19">
    <w:name w:val="正文 A"/>
    <w:link w:val="18"/>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20">
    <w:name w:val="_Style 1"/>
    <w:basedOn w:val="1"/>
    <w:qFormat/>
    <w:uiPriority w:val="34"/>
    <w:pPr>
      <w:ind w:firstLine="420" w:firstLineChars="200"/>
    </w:pPr>
  </w:style>
  <w:style w:type="paragraph" w:customStyle="1" w:styleId="21">
    <w:name w:val="标题 21"/>
    <w:next w:val="19"/>
    <w:qFormat/>
    <w:uiPriority w:val="0"/>
    <w:pPr>
      <w:keepNext/>
      <w:keepLines/>
      <w:widowControl w:val="0"/>
      <w:spacing w:before="200" w:after="200"/>
      <w:jc w:val="both"/>
      <w:outlineLvl w:val="0"/>
    </w:pPr>
    <w:rPr>
      <w:rFonts w:ascii="Arial" w:hAnsi="Arial" w:eastAsia="Arial" w:cs="Arial"/>
      <w:b/>
      <w:bCs/>
      <w:color w:val="000000"/>
      <w:u w:color="000000"/>
      <w:lang w:val="en-US" w:eastAsia="zh-CN" w:bidi="ar-SA"/>
    </w:rPr>
  </w:style>
  <w:style w:type="character" w:customStyle="1" w:styleId="22">
    <w:name w:val="页眉 字符"/>
    <w:basedOn w:val="13"/>
    <w:link w:val="7"/>
    <w:uiPriority w:val="99"/>
    <w:rPr>
      <w:kern w:val="2"/>
      <w:sz w:val="18"/>
      <w:szCs w:val="18"/>
    </w:rPr>
  </w:style>
  <w:style w:type="character" w:customStyle="1" w:styleId="23">
    <w:name w:val="页脚 字符"/>
    <w:basedOn w:val="13"/>
    <w:link w:val="6"/>
    <w:uiPriority w:val="99"/>
    <w:rPr>
      <w:kern w:val="2"/>
      <w:sz w:val="18"/>
      <w:szCs w:val="18"/>
    </w:rPr>
  </w:style>
  <w:style w:type="character" w:customStyle="1" w:styleId="24">
    <w:name w:val="标题 2 字符"/>
    <w:basedOn w:val="13"/>
    <w:link w:val="3"/>
    <w:uiPriority w:val="9"/>
    <w:rPr>
      <w:rFonts w:asciiTheme="majorHAnsi" w:hAnsiTheme="majorHAnsi" w:eastAsiaTheme="majorEastAsia" w:cstheme="majorBidi"/>
      <w:b/>
      <w:bCs/>
      <w:kern w:val="2"/>
      <w:sz w:val="32"/>
      <w:szCs w:val="32"/>
    </w:rPr>
  </w:style>
  <w:style w:type="character" w:customStyle="1" w:styleId="25">
    <w:name w:val="日期 字符"/>
    <w:basedOn w:val="13"/>
    <w:link w:val="5"/>
    <w:semiHidden/>
    <w:uiPriority w:val="99"/>
    <w:rPr>
      <w:kern w:val="2"/>
      <w:sz w:val="21"/>
      <w:szCs w:val="24"/>
    </w:rPr>
  </w:style>
  <w:style w:type="paragraph" w:styleId="26">
    <w:name w:val="List Paragraph"/>
    <w:basedOn w:val="1"/>
    <w:uiPriority w:val="99"/>
    <w:pPr>
      <w:ind w:firstLine="420" w:firstLineChars="200"/>
    </w:pPr>
  </w:style>
  <w:style w:type="paragraph" w:customStyle="1" w:styleId="2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411771-8357-434D-8E46-B2D7B71EB214}">
  <ds:schemaRefs/>
</ds:datastoreItem>
</file>

<file path=docProps/app.xml><?xml version="1.0" encoding="utf-8"?>
<Properties xmlns="http://schemas.openxmlformats.org/officeDocument/2006/extended-properties" xmlns:vt="http://schemas.openxmlformats.org/officeDocument/2006/docPropsVTypes">
  <Template>Normal.dotm</Template>
  <Pages>9</Pages>
  <Words>3314</Words>
  <Characters>4096</Characters>
  <Lines>40</Lines>
  <Paragraphs>11</Paragraphs>
  <TotalTime>793</TotalTime>
  <ScaleCrop>false</ScaleCrop>
  <LinksUpToDate>false</LinksUpToDate>
  <CharactersWithSpaces>4204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2025-04-23T10:07:00Z</dcterms:created>
  <dc:creator>李瑞光(LI Ruiguang)</dc:creator>
  <cp:lastModifiedBy>大彤宝</cp:lastModifiedBy>
  <dcterms:modified xsi:type="dcterms:W3CDTF">2025-06-16T07:54:22Z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0AE19EC83D3B4ACE874E6CEB480EBD15</vt:lpwstr>
  </property>
  <property fmtid="{D5CDD505-2E9C-101B-9397-08002B2CF9AE}" pid="4" name="KSOTemplateDocerSaveRecord">
    <vt:lpwstr>eyJoZGlkIjoiYWI4NmMzNTM1YjFiYjAyYmUyMmNmYmRhYjUwNzk3NDkiLCJ1c2VySWQiOiI4NDk3Mzc5MTUifQ==</vt:lpwstr>
  </property>
</Properties>
</file>