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997E6">
      <w:pPr>
        <w:widowControl/>
        <w:adjustRightInd w:val="0"/>
        <w:snapToGrid w:val="0"/>
        <w:spacing w:line="360" w:lineRule="auto"/>
        <w:jc w:val="center"/>
        <w:rPr>
          <w:rFonts w:hint="eastAsia" w:ascii="宋体" w:hAnsi="宋体" w:eastAsia="宋体" w:cs="宋体"/>
          <w:b/>
          <w:bCs/>
          <w:sz w:val="28"/>
          <w:szCs w:val="28"/>
          <w:lang w:eastAsia="zh-CN"/>
        </w:rPr>
      </w:pPr>
    </w:p>
    <w:p w14:paraId="104C006D">
      <w:pPr>
        <w:widowControl/>
        <w:adjustRightInd w:val="0"/>
        <w:snapToGrid w:val="0"/>
        <w:spacing w:line="360" w:lineRule="auto"/>
        <w:jc w:val="center"/>
        <w:rPr>
          <w:rFonts w:hint="eastAsia" w:ascii="宋体" w:hAnsi="宋体" w:eastAsia="宋体" w:cs="宋体"/>
          <w:b/>
          <w:bCs/>
          <w:sz w:val="28"/>
          <w:szCs w:val="28"/>
          <w:lang w:eastAsia="zh-CN"/>
        </w:rPr>
      </w:pPr>
    </w:p>
    <w:p w14:paraId="4DDEE86D">
      <w:pPr>
        <w:widowControl/>
        <w:adjustRightInd w:val="0"/>
        <w:snapToGrid w:val="0"/>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动力厂空压</w:t>
      </w:r>
      <w:r>
        <w:rPr>
          <w:rFonts w:hint="eastAsia" w:ascii="宋体" w:hAnsi="宋体" w:eastAsia="宋体" w:cs="宋体"/>
          <w:b/>
          <w:bCs/>
          <w:sz w:val="28"/>
          <w:szCs w:val="28"/>
          <w:lang w:val="en-US" w:eastAsia="zh-CN"/>
        </w:rPr>
        <w:t>气</w:t>
      </w:r>
      <w:r>
        <w:rPr>
          <w:rFonts w:hint="eastAsia" w:ascii="宋体" w:hAnsi="宋体" w:eastAsia="宋体" w:cs="宋体"/>
          <w:b/>
          <w:bCs/>
          <w:sz w:val="28"/>
          <w:szCs w:val="28"/>
          <w:lang w:eastAsia="zh-CN"/>
        </w:rPr>
        <w:t>系统节能改造项目技术要求</w:t>
      </w:r>
    </w:p>
    <w:p w14:paraId="2016D4FB">
      <w:pPr>
        <w:pStyle w:val="3"/>
        <w:spacing w:before="129" w:line="219" w:lineRule="auto"/>
        <w:ind w:left="3015"/>
        <w:outlineLvl w:val="0"/>
        <w:rPr>
          <w:rFonts w:hint="eastAsia" w:ascii="宋体" w:hAnsi="宋体" w:eastAsia="宋体" w:cs="宋体"/>
          <w:sz w:val="28"/>
          <w:szCs w:val="28"/>
        </w:rPr>
      </w:pPr>
      <w:bookmarkStart w:id="0" w:name="_Toc23185"/>
      <w:r>
        <w:rPr>
          <w:rFonts w:hint="eastAsia" w:ascii="宋体" w:hAnsi="宋体" w:eastAsia="宋体" w:cs="宋体"/>
          <w:b/>
          <w:bCs/>
          <w:spacing w:val="5"/>
          <w:sz w:val="28"/>
          <w:szCs w:val="28"/>
        </w:rPr>
        <w:t>第1章</w:t>
      </w:r>
      <w:r>
        <w:rPr>
          <w:rFonts w:hint="eastAsia" w:ascii="宋体" w:hAnsi="宋体" w:eastAsia="宋体" w:cs="宋体"/>
          <w:spacing w:val="5"/>
          <w:sz w:val="28"/>
          <w:szCs w:val="28"/>
        </w:rPr>
        <w:t xml:space="preserve">  </w:t>
      </w:r>
      <w:r>
        <w:rPr>
          <w:rFonts w:hint="eastAsia" w:ascii="宋体" w:hAnsi="宋体" w:eastAsia="宋体" w:cs="宋体"/>
          <w:b/>
          <w:bCs/>
          <w:spacing w:val="5"/>
          <w:sz w:val="28"/>
          <w:szCs w:val="28"/>
        </w:rPr>
        <w:t>项目概况</w:t>
      </w:r>
      <w:bookmarkEnd w:id="0"/>
    </w:p>
    <w:p w14:paraId="36EC3205">
      <w:pPr>
        <w:spacing w:line="403" w:lineRule="auto"/>
        <w:rPr>
          <w:rFonts w:hint="eastAsia" w:ascii="宋体" w:hAnsi="宋体" w:eastAsia="宋体" w:cs="宋体"/>
          <w:sz w:val="28"/>
          <w:szCs w:val="28"/>
        </w:rPr>
      </w:pPr>
    </w:p>
    <w:p w14:paraId="16EE1EB9">
      <w:pPr>
        <w:spacing w:before="101" w:line="226" w:lineRule="auto"/>
        <w:ind w:left="733"/>
        <w:outlineLvl w:val="1"/>
        <w:rPr>
          <w:rFonts w:hint="eastAsia" w:ascii="宋体" w:hAnsi="宋体" w:eastAsia="宋体" w:cs="宋体"/>
          <w:sz w:val="28"/>
          <w:szCs w:val="28"/>
        </w:rPr>
      </w:pPr>
      <w:bookmarkStart w:id="1" w:name="bookmark3"/>
      <w:bookmarkEnd w:id="1"/>
      <w:bookmarkStart w:id="2" w:name="bookmark4"/>
      <w:bookmarkEnd w:id="2"/>
      <w:bookmarkStart w:id="3" w:name="bookmark5"/>
      <w:bookmarkEnd w:id="3"/>
      <w:bookmarkStart w:id="4" w:name="_Toc16565"/>
      <w:r>
        <w:rPr>
          <w:rFonts w:hint="eastAsia" w:ascii="宋体" w:hAnsi="宋体" w:eastAsia="宋体" w:cs="宋体"/>
          <w:b/>
          <w:bCs/>
          <w:spacing w:val="-3"/>
          <w:sz w:val="28"/>
          <w:szCs w:val="28"/>
        </w:rPr>
        <w:t>1.1</w:t>
      </w:r>
      <w:r>
        <w:rPr>
          <w:rFonts w:hint="eastAsia" w:ascii="宋体" w:hAnsi="宋体" w:eastAsia="宋体" w:cs="宋体"/>
          <w:spacing w:val="29"/>
          <w:sz w:val="28"/>
          <w:szCs w:val="28"/>
        </w:rPr>
        <w:t xml:space="preserve"> </w:t>
      </w:r>
      <w:r>
        <w:rPr>
          <w:rFonts w:hint="eastAsia" w:ascii="宋体" w:hAnsi="宋体" w:eastAsia="宋体" w:cs="宋体"/>
          <w:b/>
          <w:bCs/>
          <w:spacing w:val="-3"/>
          <w:sz w:val="28"/>
          <w:szCs w:val="28"/>
        </w:rPr>
        <w:t>项目简介</w:t>
      </w:r>
      <w:bookmarkEnd w:id="4"/>
    </w:p>
    <w:p w14:paraId="49602CBC">
      <w:pPr>
        <w:spacing w:line="246" w:lineRule="auto"/>
        <w:rPr>
          <w:rFonts w:hint="eastAsia" w:ascii="宋体" w:hAnsi="宋体" w:eastAsia="宋体" w:cs="宋体"/>
          <w:sz w:val="28"/>
          <w:szCs w:val="28"/>
        </w:rPr>
      </w:pPr>
    </w:p>
    <w:p w14:paraId="5C428942">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目前联合特钢现共有3座空压站，安装有11台寿力TRX1650空压机和11台余热微气耗干燥机，目前运行存在设备老旧，能耗较高（0.135kWh/m³）问题。结合存在的设备问题，动力厂计划对整个空压系统进行升级改造，将3座空压站的空压机、干燥机数量进行整合，更换为一级能效空压机和“0”气耗干燥机。管网系统实现压力分级输送和智能管控，初步计算改造完成后，空压气整体单耗可由0.135kWh/m³降到0.105kWh/m³以下。</w:t>
      </w:r>
    </w:p>
    <w:p w14:paraId="47D92B86">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针对此情况，本项目新建 6台</w:t>
      </w:r>
      <w:r>
        <w:rPr>
          <w:rFonts w:hint="eastAsia" w:ascii="宋体" w:hAnsi="宋体" w:eastAsia="宋体" w:cs="宋体"/>
          <w:color w:val="FF0000"/>
          <w:sz w:val="28"/>
          <w:szCs w:val="28"/>
          <w:lang w:val="en-US" w:eastAsia="zh-CN"/>
        </w:rPr>
        <w:t>280</w:t>
      </w:r>
      <w:r>
        <w:rPr>
          <w:rFonts w:hint="eastAsia" w:ascii="宋体" w:hAnsi="宋体" w:eastAsia="宋体" w:cs="宋体"/>
          <w:sz w:val="28"/>
          <w:szCs w:val="28"/>
          <w:lang w:val="en-US" w:eastAsia="zh-CN"/>
        </w:rPr>
        <w:t>Nm3/min 空压机（1#空压站布置 2 台，2#空压站布置1台，3#空压站布置3台），并配置相应的零气耗干燥机。以及项目运行所需的集中优化智能控制系统，对整体空压系统进行节能调控。通过选用新型的空压机型以及零气耗干燥机，实现设备的更新，实现节电降耗。</w:t>
      </w:r>
    </w:p>
    <w:p w14:paraId="01665973">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公司管网压力输送：常规输送管网压力0.6Mpa，3#空压站完善直供风送管道压力0.65Mpa，实现管网压力等级既可统一，也可分级。3#空压站直供风送压力控制在0.65Mpa，当压力高出时，可自动调节向常规输送管网降压送气，同时保持直供风送压力在0.65Mpa，投标方对招标方现有管网进行核实及改造。</w:t>
      </w:r>
    </w:p>
    <w:p w14:paraId="00EE80C4">
      <w:pPr>
        <w:spacing w:line="227" w:lineRule="auto"/>
        <w:ind w:left="733"/>
        <w:outlineLvl w:val="1"/>
        <w:rPr>
          <w:rFonts w:hint="eastAsia" w:ascii="宋体" w:hAnsi="宋体" w:eastAsia="宋体" w:cs="宋体"/>
          <w:sz w:val="28"/>
          <w:szCs w:val="28"/>
        </w:rPr>
      </w:pPr>
      <w:bookmarkStart w:id="5" w:name="bookmark6"/>
      <w:bookmarkEnd w:id="5"/>
      <w:bookmarkStart w:id="6" w:name="bookmark7"/>
      <w:bookmarkEnd w:id="6"/>
      <w:bookmarkStart w:id="7" w:name="_Toc9557"/>
      <w:r>
        <w:rPr>
          <w:rFonts w:hint="eastAsia" w:ascii="宋体" w:hAnsi="宋体" w:eastAsia="宋体" w:cs="宋体"/>
          <w:b/>
          <w:bCs/>
          <w:spacing w:val="-3"/>
          <w:sz w:val="28"/>
          <w:szCs w:val="28"/>
        </w:rPr>
        <w:t>1.2</w:t>
      </w:r>
      <w:r>
        <w:rPr>
          <w:rFonts w:hint="eastAsia" w:ascii="宋体" w:hAnsi="宋体" w:eastAsia="宋体" w:cs="宋体"/>
          <w:spacing w:val="29"/>
          <w:sz w:val="28"/>
          <w:szCs w:val="28"/>
        </w:rPr>
        <w:t xml:space="preserve"> </w:t>
      </w:r>
      <w:r>
        <w:rPr>
          <w:rFonts w:hint="eastAsia" w:ascii="宋体" w:hAnsi="宋体" w:eastAsia="宋体" w:cs="宋体"/>
          <w:b/>
          <w:bCs/>
          <w:spacing w:val="-3"/>
          <w:sz w:val="28"/>
          <w:szCs w:val="28"/>
        </w:rPr>
        <w:t>相关期限</w:t>
      </w:r>
      <w:bookmarkEnd w:id="7"/>
    </w:p>
    <w:p w14:paraId="06389CA4">
      <w:pPr>
        <w:spacing w:line="245" w:lineRule="auto"/>
        <w:rPr>
          <w:rFonts w:hint="eastAsia" w:ascii="宋体" w:hAnsi="宋体" w:eastAsia="宋体" w:cs="宋体"/>
          <w:sz w:val="28"/>
          <w:szCs w:val="28"/>
        </w:rPr>
      </w:pPr>
    </w:p>
    <w:p w14:paraId="23C3EA4C">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项目建设工期：150 个自然日（ 自合同签订之日起）。</w:t>
      </w:r>
    </w:p>
    <w:p w14:paraId="2D7F4F2B">
      <w:pPr>
        <w:tabs>
          <w:tab w:val="left" w:pos="8609"/>
        </w:tabs>
        <w:spacing w:before="101" w:line="366" w:lineRule="auto"/>
        <w:ind w:left="0" w:leftChars="0" w:firstLine="656" w:firstLineChars="0"/>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合同能源管理期：以项目全部完工验收合格之日作为合同能源管理期的起始节点，合同能源管理期5年。</w:t>
      </w:r>
    </w:p>
    <w:p w14:paraId="78A59DFE">
      <w:pPr>
        <w:spacing w:line="228" w:lineRule="auto"/>
        <w:ind w:left="689"/>
        <w:outlineLvl w:val="1"/>
        <w:rPr>
          <w:rFonts w:hint="eastAsia" w:ascii="宋体" w:hAnsi="宋体" w:eastAsia="宋体" w:cs="宋体"/>
          <w:sz w:val="28"/>
          <w:szCs w:val="28"/>
        </w:rPr>
      </w:pPr>
      <w:bookmarkStart w:id="8" w:name="bookmark1"/>
      <w:bookmarkEnd w:id="8"/>
      <w:bookmarkStart w:id="9" w:name="bookmark8"/>
      <w:bookmarkEnd w:id="9"/>
      <w:bookmarkStart w:id="10" w:name="_Toc13820"/>
      <w:r>
        <w:rPr>
          <w:rFonts w:hint="eastAsia" w:ascii="宋体" w:hAnsi="宋体" w:eastAsia="宋体" w:cs="宋体"/>
          <w:b/>
          <w:bCs/>
          <w:spacing w:val="-3"/>
          <w:sz w:val="28"/>
          <w:szCs w:val="28"/>
        </w:rPr>
        <w:t>1.3</w:t>
      </w:r>
      <w:r>
        <w:rPr>
          <w:rFonts w:hint="eastAsia" w:ascii="宋体" w:hAnsi="宋体" w:eastAsia="宋体" w:cs="宋体"/>
          <w:spacing w:val="29"/>
          <w:sz w:val="28"/>
          <w:szCs w:val="28"/>
        </w:rPr>
        <w:t xml:space="preserve"> </w:t>
      </w:r>
      <w:r>
        <w:rPr>
          <w:rFonts w:hint="eastAsia" w:ascii="宋体" w:hAnsi="宋体" w:eastAsia="宋体" w:cs="宋体"/>
          <w:b/>
          <w:bCs/>
          <w:spacing w:val="-3"/>
          <w:sz w:val="28"/>
          <w:szCs w:val="28"/>
        </w:rPr>
        <w:t>项目范围</w:t>
      </w:r>
      <w:bookmarkEnd w:id="10"/>
    </w:p>
    <w:p w14:paraId="049ECA81">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合同能源管理期内，采用售气模式合作，投标方负责三座空压站的整体运行、维护、维修等工作，并承担所需的能源介质（电、气）、备品备件等费用，成品空压气以固定单价的模式销售给招标方。</w:t>
      </w:r>
    </w:p>
    <w:p w14:paraId="4ED0A32F">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方负责范围包括但不局限于项目的勘查、设计、采购、安装、拆除、施工（含相关土建）、调试、维护等全部工作，本项目是空压系统整体优化，投标方负责范围包括但不局限于空压机、干燥机、配套的阀门、配套的管路、配套的电缆、电气设备、仪表自动化、冷却系统、控制系统、设备基础等，并由投标方负责合同能源管理期内与本项目所有的设备设施的检修维护（包括合同期内的大修维护（大修维护至少进行一次））和整体运行，检修维护所需的备件耗材由投标方提供，空滤、干燥剂、油品的更换作业由投标方负责。投标方新建的压力容器，检验工作由投标方负责。投标方对项目的技术、质量、交货期、设备性能、产品保证值及技术资料、技术服务、人员培训等负全责，以上未注明，但所有与本项目相关的设计、施工、安装、调试、培训以及施工现场清理（含工业垃圾处置）等工作亦由投标方负责。合同能源管理期内检修维护更换下来的耗材由投标方负责。此外，在评估有效且可行的基础上，投标方在招标方许可的情况下对空压站现有的设备设施进行利旧。</w:t>
      </w:r>
    </w:p>
    <w:p w14:paraId="64402B67">
      <w:pPr>
        <w:spacing w:before="1" w:line="227" w:lineRule="auto"/>
        <w:ind w:left="689"/>
        <w:outlineLvl w:val="1"/>
        <w:rPr>
          <w:rFonts w:hint="eastAsia" w:ascii="宋体" w:hAnsi="宋体" w:eastAsia="宋体" w:cs="宋体"/>
          <w:sz w:val="28"/>
          <w:szCs w:val="28"/>
        </w:rPr>
      </w:pPr>
      <w:bookmarkStart w:id="11" w:name="bookmark10"/>
      <w:bookmarkEnd w:id="11"/>
      <w:bookmarkStart w:id="12" w:name="bookmark9"/>
      <w:bookmarkEnd w:id="12"/>
      <w:bookmarkStart w:id="13" w:name="_Toc32095"/>
      <w:r>
        <w:rPr>
          <w:rFonts w:hint="eastAsia" w:ascii="宋体" w:hAnsi="宋体" w:eastAsia="宋体" w:cs="宋体"/>
          <w:b/>
          <w:bCs/>
          <w:spacing w:val="-3"/>
          <w:sz w:val="28"/>
          <w:szCs w:val="28"/>
        </w:rPr>
        <w:t>1.3</w:t>
      </w:r>
      <w:r>
        <w:rPr>
          <w:rFonts w:hint="eastAsia" w:ascii="宋体" w:hAnsi="宋体" w:eastAsia="宋体" w:cs="宋体"/>
          <w:spacing w:val="29"/>
          <w:sz w:val="28"/>
          <w:szCs w:val="28"/>
        </w:rPr>
        <w:t xml:space="preserve"> </w:t>
      </w:r>
      <w:r>
        <w:rPr>
          <w:rFonts w:hint="eastAsia" w:ascii="宋体" w:hAnsi="宋体" w:eastAsia="宋体" w:cs="宋体"/>
          <w:b/>
          <w:bCs/>
          <w:spacing w:val="-3"/>
          <w:sz w:val="28"/>
          <w:szCs w:val="28"/>
        </w:rPr>
        <w:t>项目要求</w:t>
      </w:r>
      <w:bookmarkEnd w:id="13"/>
    </w:p>
    <w:p w14:paraId="1F92F5A6">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项目实施过程中，投标方应坚持“安全确认、有序推进、 规避风险 ”的原则，应确保项目施工过程中，不影响在运行 设备的正常运转，不影响招标方空压系统的工况，不给招标方的安全生产带来危害。即采用边拆除、边安装、边调试、边投运的方式进行，不能影响正常生产运行。拆除的主体设备要求完好，不能损坏。如造成影响及损坏等，则由投标方负责。</w:t>
      </w:r>
    </w:p>
    <w:p w14:paraId="7724996C">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方在施工过程中应严格遵循国家标准规程进行。投标方所供设备应符合国家有关标准规定。在招标方发现不符合国家标准时，应予以整改，整改费用由投标方承担，如对招标方造成实际损失的，招标方保留索赔的权利。投标方应保证项目的完整性，本协议未提及但应包含在项目中的内容均为投标方负责。</w:t>
      </w:r>
    </w:p>
    <w:p w14:paraId="6272148F">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本项目如涉及补贴资金，投标方需配合申请，所申请的 补贴资金应归招标方所有。合同管理期内，本项目涉及的资产归投标方所有。在合同能源管理期结束后，本项目涉及的资产全部归招标方所有，项目所产生的节能效益全部、持续归招标方所有。</w:t>
      </w:r>
    </w:p>
    <w:p w14:paraId="40D94ACC">
      <w:pPr>
        <w:rPr>
          <w:rFonts w:hint="eastAsia" w:ascii="宋体" w:hAnsi="宋体" w:eastAsia="宋体" w:cs="宋体"/>
          <w:spacing w:val="8"/>
          <w:sz w:val="28"/>
          <w:szCs w:val="28"/>
        </w:rPr>
      </w:pPr>
    </w:p>
    <w:p w14:paraId="12BD6A53">
      <w:pPr>
        <w:pStyle w:val="3"/>
        <w:spacing w:before="101" w:line="221" w:lineRule="auto"/>
        <w:ind w:left="2971"/>
        <w:outlineLvl w:val="0"/>
        <w:rPr>
          <w:rFonts w:hint="eastAsia" w:ascii="宋体" w:hAnsi="宋体" w:eastAsia="宋体" w:cs="宋体"/>
          <w:sz w:val="28"/>
          <w:szCs w:val="28"/>
        </w:rPr>
      </w:pPr>
      <w:bookmarkStart w:id="14" w:name="bookmark13"/>
      <w:bookmarkEnd w:id="14"/>
      <w:bookmarkStart w:id="15" w:name="bookmark14"/>
      <w:bookmarkEnd w:id="15"/>
      <w:bookmarkStart w:id="16" w:name="_Toc23650"/>
      <w:r>
        <w:rPr>
          <w:rFonts w:hint="eastAsia" w:ascii="宋体" w:hAnsi="宋体" w:eastAsia="宋体" w:cs="宋体"/>
          <w:b/>
          <w:bCs/>
          <w:spacing w:val="5"/>
          <w:sz w:val="28"/>
          <w:szCs w:val="28"/>
        </w:rPr>
        <w:t>第2章</w:t>
      </w:r>
      <w:r>
        <w:rPr>
          <w:rFonts w:hint="eastAsia" w:ascii="宋体" w:hAnsi="宋体" w:eastAsia="宋体" w:cs="宋体"/>
          <w:spacing w:val="5"/>
          <w:sz w:val="28"/>
          <w:szCs w:val="28"/>
        </w:rPr>
        <w:t xml:space="preserve">  </w:t>
      </w:r>
      <w:r>
        <w:rPr>
          <w:rFonts w:hint="eastAsia" w:ascii="宋体" w:hAnsi="宋体" w:eastAsia="宋体" w:cs="宋体"/>
          <w:b/>
          <w:bCs/>
          <w:spacing w:val="5"/>
          <w:sz w:val="28"/>
          <w:szCs w:val="28"/>
        </w:rPr>
        <w:t>技术要求</w:t>
      </w:r>
      <w:bookmarkEnd w:id="16"/>
    </w:p>
    <w:p w14:paraId="17C8C57D">
      <w:pPr>
        <w:spacing w:line="400" w:lineRule="auto"/>
        <w:rPr>
          <w:rFonts w:hint="eastAsia" w:ascii="宋体" w:hAnsi="宋体" w:eastAsia="宋体" w:cs="宋体"/>
          <w:sz w:val="28"/>
          <w:szCs w:val="28"/>
        </w:rPr>
      </w:pPr>
    </w:p>
    <w:p w14:paraId="7229ABE6">
      <w:pPr>
        <w:spacing w:before="101" w:line="228" w:lineRule="auto"/>
        <w:ind w:left="669"/>
        <w:outlineLvl w:val="1"/>
        <w:rPr>
          <w:rFonts w:hint="eastAsia" w:ascii="宋体" w:hAnsi="宋体" w:eastAsia="宋体" w:cs="宋体"/>
          <w:sz w:val="28"/>
          <w:szCs w:val="28"/>
        </w:rPr>
      </w:pPr>
      <w:bookmarkStart w:id="17" w:name="bookmark16"/>
      <w:bookmarkEnd w:id="17"/>
      <w:bookmarkStart w:id="18" w:name="bookmark15"/>
      <w:bookmarkEnd w:id="18"/>
      <w:bookmarkStart w:id="19" w:name="_Toc31813"/>
      <w:r>
        <w:rPr>
          <w:rFonts w:hint="eastAsia" w:ascii="宋体" w:hAnsi="宋体" w:eastAsia="宋体" w:cs="宋体"/>
          <w:b/>
          <w:bCs/>
          <w:spacing w:val="-1"/>
          <w:sz w:val="28"/>
          <w:szCs w:val="28"/>
        </w:rPr>
        <w:t>2.1</w:t>
      </w:r>
      <w:r>
        <w:rPr>
          <w:rFonts w:hint="eastAsia" w:ascii="宋体" w:hAnsi="宋体" w:eastAsia="宋体" w:cs="宋体"/>
          <w:spacing w:val="35"/>
          <w:sz w:val="28"/>
          <w:szCs w:val="28"/>
        </w:rPr>
        <w:t xml:space="preserve"> </w:t>
      </w:r>
      <w:r>
        <w:rPr>
          <w:rFonts w:hint="eastAsia" w:ascii="宋体" w:hAnsi="宋体" w:eastAsia="宋体" w:cs="宋体"/>
          <w:b/>
          <w:bCs/>
          <w:spacing w:val="-1"/>
          <w:sz w:val="28"/>
          <w:szCs w:val="28"/>
        </w:rPr>
        <w:t>选型要求</w:t>
      </w:r>
      <w:bookmarkEnd w:id="19"/>
    </w:p>
    <w:p w14:paraId="3C3108CD">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本项目需选用品质优良的设备，所选设备需在同类产品 中处于行业领先水平，具体如下：</w:t>
      </w:r>
    </w:p>
    <w:p w14:paraId="7980F9DD">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空压机：选用高效节能离心式空压机，设备技术先进， 成熟可靠，设备包含压缩机本体、驱动电机、润滑系统、冷 却系统、控制系统和辅助设备，其中驱动电机需选用东元电机、西门子电机、ABB 电机（一级能效）。</w:t>
      </w:r>
    </w:p>
    <w:p w14:paraId="5F73EED4">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干燥机：需选用优质品牌的零气耗干燥机。</w:t>
      </w:r>
    </w:p>
    <w:p w14:paraId="743C22C8">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压力容器：项目涉及的新增压力容器、设备须具备压力 容器合格证、压力容器合格检验报告；压力容器的使用寿命 不低于 15 年。</w:t>
      </w:r>
    </w:p>
    <w:p w14:paraId="06AA6AB2">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项目涉及的设备，需提供使用维护说明、出厂合格证等 资料。</w:t>
      </w:r>
    </w:p>
    <w:p w14:paraId="27AD363A">
      <w:pPr>
        <w:spacing w:before="2" w:line="227" w:lineRule="auto"/>
        <w:ind w:left="669"/>
        <w:outlineLvl w:val="1"/>
        <w:rPr>
          <w:rFonts w:hint="eastAsia" w:ascii="宋体" w:hAnsi="宋体" w:eastAsia="宋体" w:cs="宋体"/>
          <w:sz w:val="28"/>
          <w:szCs w:val="28"/>
        </w:rPr>
      </w:pPr>
      <w:bookmarkStart w:id="20" w:name="bookmark17"/>
      <w:bookmarkEnd w:id="20"/>
      <w:bookmarkStart w:id="21" w:name="bookmark18"/>
      <w:bookmarkEnd w:id="21"/>
      <w:bookmarkStart w:id="22" w:name="_Toc4234"/>
      <w:r>
        <w:rPr>
          <w:rFonts w:hint="eastAsia" w:ascii="宋体" w:hAnsi="宋体" w:eastAsia="宋体" w:cs="宋体"/>
          <w:b/>
          <w:bCs/>
          <w:spacing w:val="-5"/>
          <w:sz w:val="28"/>
          <w:szCs w:val="28"/>
        </w:rPr>
        <w:t>2.2</w:t>
      </w:r>
      <w:r>
        <w:rPr>
          <w:rFonts w:hint="eastAsia" w:ascii="宋体" w:hAnsi="宋体" w:eastAsia="宋体" w:cs="宋体"/>
          <w:spacing w:val="49"/>
          <w:sz w:val="28"/>
          <w:szCs w:val="28"/>
        </w:rPr>
        <w:t xml:space="preserve"> </w:t>
      </w:r>
      <w:r>
        <w:rPr>
          <w:rFonts w:hint="eastAsia" w:ascii="宋体" w:hAnsi="宋体" w:eastAsia="宋体" w:cs="宋体"/>
          <w:b/>
          <w:bCs/>
          <w:spacing w:val="-5"/>
          <w:sz w:val="28"/>
          <w:szCs w:val="28"/>
        </w:rPr>
        <w:t>空压机</w:t>
      </w:r>
      <w:bookmarkEnd w:id="22"/>
    </w:p>
    <w:p w14:paraId="04BC49FA">
      <w:pPr>
        <w:spacing w:line="245" w:lineRule="auto"/>
        <w:rPr>
          <w:rFonts w:hint="eastAsia" w:ascii="宋体" w:hAnsi="宋体" w:eastAsia="宋体" w:cs="宋体"/>
          <w:sz w:val="28"/>
          <w:szCs w:val="28"/>
        </w:rPr>
      </w:pPr>
    </w:p>
    <w:p w14:paraId="43530E7E">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离心式空压机设备技术先进，采用无油离心空压机，成熟可靠，压缩机本体、驱动电机能效水平高，润滑系统、冷却系统、控制系统和辅助设备运行稳定且满足需求，控制系统自动化程度高，且具备完备的显示、报警、开机、停机等功能。</w:t>
      </w:r>
    </w:p>
    <w:p w14:paraId="321723A0">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压缩机气量调节采用恒压控制＋自动双重控制，PLC 或微处理器（单片机）控制，进气调节采用进口导叶，机组在启动和运转过程中无需仪表气源。</w:t>
      </w:r>
    </w:p>
    <w:p w14:paraId="33B3ECF4">
      <w:pPr>
        <w:spacing w:before="55" w:line="228" w:lineRule="auto"/>
        <w:ind w:left="2606"/>
        <w:rPr>
          <w:rFonts w:hint="eastAsia" w:ascii="宋体" w:hAnsi="宋体" w:eastAsia="宋体" w:cs="宋体"/>
          <w:sz w:val="28"/>
          <w:szCs w:val="28"/>
        </w:rPr>
      </w:pPr>
      <w:bookmarkStart w:id="87" w:name="_GoBack"/>
      <w:bookmarkEnd w:id="87"/>
      <w:r>
        <w:rPr>
          <w:rFonts w:hint="eastAsia" w:ascii="宋体" w:hAnsi="宋体" w:eastAsia="宋体" w:cs="宋体"/>
          <w:spacing w:val="5"/>
          <w:sz w:val="28"/>
          <w:szCs w:val="28"/>
        </w:rPr>
        <w:t>空压机主要设备参数表</w:t>
      </w:r>
    </w:p>
    <w:p w14:paraId="3BBF6FB8">
      <w:pPr>
        <w:spacing w:line="87" w:lineRule="exact"/>
        <w:rPr>
          <w:rFonts w:hint="eastAsia" w:ascii="宋体" w:hAnsi="宋体" w:eastAsia="宋体" w:cs="宋体"/>
          <w:sz w:val="28"/>
          <w:szCs w:val="28"/>
        </w:rPr>
      </w:pPr>
    </w:p>
    <w:tbl>
      <w:tblPr>
        <w:tblStyle w:val="10"/>
        <w:tblW w:w="8181" w:type="dxa"/>
        <w:tblInd w:w="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1"/>
        <w:gridCol w:w="1988"/>
        <w:gridCol w:w="1512"/>
        <w:gridCol w:w="3400"/>
      </w:tblGrid>
      <w:tr w14:paraId="365DA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81" w:type="dxa"/>
            <w:vAlign w:val="top"/>
          </w:tcPr>
          <w:p w14:paraId="71C81692">
            <w:pPr>
              <w:pStyle w:val="11"/>
              <w:spacing w:before="119" w:line="215" w:lineRule="auto"/>
              <w:ind w:left="168"/>
              <w:rPr>
                <w:rFonts w:hint="eastAsia" w:ascii="宋体" w:hAnsi="宋体" w:eastAsia="宋体" w:cs="宋体"/>
                <w:sz w:val="28"/>
                <w:szCs w:val="28"/>
              </w:rPr>
            </w:pPr>
            <w:r>
              <w:rPr>
                <w:rFonts w:hint="eastAsia" w:ascii="宋体" w:hAnsi="宋体" w:eastAsia="宋体" w:cs="宋体"/>
                <w:spacing w:val="-3"/>
                <w:sz w:val="28"/>
                <w:szCs w:val="28"/>
              </w:rPr>
              <w:t>设备名称</w:t>
            </w:r>
          </w:p>
        </w:tc>
        <w:tc>
          <w:tcPr>
            <w:tcW w:w="3500" w:type="dxa"/>
            <w:gridSpan w:val="2"/>
            <w:vAlign w:val="top"/>
          </w:tcPr>
          <w:p w14:paraId="3A0465ED">
            <w:pPr>
              <w:pStyle w:val="11"/>
              <w:spacing w:before="119" w:line="215" w:lineRule="auto"/>
              <w:ind w:left="1277"/>
              <w:rPr>
                <w:rFonts w:hint="eastAsia" w:ascii="宋体" w:hAnsi="宋体" w:eastAsia="宋体" w:cs="宋体"/>
                <w:sz w:val="28"/>
                <w:szCs w:val="28"/>
              </w:rPr>
            </w:pPr>
            <w:r>
              <w:rPr>
                <w:rFonts w:hint="eastAsia" w:ascii="宋体" w:hAnsi="宋体" w:eastAsia="宋体" w:cs="宋体"/>
                <w:spacing w:val="-3"/>
                <w:sz w:val="28"/>
                <w:szCs w:val="28"/>
              </w:rPr>
              <w:t>设备参数</w:t>
            </w:r>
          </w:p>
        </w:tc>
        <w:tc>
          <w:tcPr>
            <w:tcW w:w="3400" w:type="dxa"/>
            <w:tcBorders>
              <w:right w:val="single" w:color="000000" w:sz="6" w:space="0"/>
            </w:tcBorders>
            <w:vAlign w:val="top"/>
          </w:tcPr>
          <w:p w14:paraId="2EE6345B">
            <w:pPr>
              <w:pStyle w:val="11"/>
              <w:spacing w:before="119" w:line="215" w:lineRule="auto"/>
              <w:ind w:left="1469"/>
              <w:rPr>
                <w:rFonts w:hint="eastAsia" w:ascii="宋体" w:hAnsi="宋体" w:eastAsia="宋体" w:cs="宋体"/>
                <w:sz w:val="28"/>
                <w:szCs w:val="28"/>
              </w:rPr>
            </w:pPr>
            <w:r>
              <w:rPr>
                <w:rFonts w:hint="eastAsia" w:ascii="宋体" w:hAnsi="宋体" w:eastAsia="宋体" w:cs="宋体"/>
                <w:spacing w:val="-7"/>
                <w:sz w:val="28"/>
                <w:szCs w:val="28"/>
              </w:rPr>
              <w:t>备注</w:t>
            </w:r>
          </w:p>
        </w:tc>
      </w:tr>
      <w:tr w14:paraId="7256F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81" w:type="dxa"/>
            <w:vMerge w:val="restart"/>
            <w:vAlign w:val="top"/>
          </w:tcPr>
          <w:p w14:paraId="43FE8CC3">
            <w:pPr>
              <w:spacing w:line="273" w:lineRule="auto"/>
              <w:rPr>
                <w:rFonts w:hint="eastAsia" w:ascii="宋体" w:hAnsi="宋体" w:eastAsia="宋体" w:cs="宋体"/>
                <w:sz w:val="28"/>
                <w:szCs w:val="28"/>
              </w:rPr>
            </w:pPr>
          </w:p>
          <w:p w14:paraId="64F4C636">
            <w:pPr>
              <w:spacing w:line="273" w:lineRule="auto"/>
              <w:rPr>
                <w:rFonts w:hint="eastAsia" w:ascii="宋体" w:hAnsi="宋体" w:eastAsia="宋体" w:cs="宋体"/>
                <w:sz w:val="28"/>
                <w:szCs w:val="28"/>
              </w:rPr>
            </w:pPr>
          </w:p>
          <w:p w14:paraId="39DD3D64">
            <w:pPr>
              <w:spacing w:line="273" w:lineRule="auto"/>
              <w:rPr>
                <w:rFonts w:hint="eastAsia" w:ascii="宋体" w:hAnsi="宋体" w:eastAsia="宋体" w:cs="宋体"/>
                <w:sz w:val="28"/>
                <w:szCs w:val="28"/>
              </w:rPr>
            </w:pPr>
          </w:p>
          <w:p w14:paraId="738FF861">
            <w:pPr>
              <w:spacing w:line="273" w:lineRule="auto"/>
              <w:rPr>
                <w:rFonts w:hint="eastAsia" w:ascii="宋体" w:hAnsi="宋体" w:eastAsia="宋体" w:cs="宋体"/>
                <w:sz w:val="28"/>
                <w:szCs w:val="28"/>
              </w:rPr>
            </w:pPr>
          </w:p>
          <w:p w14:paraId="66FC3665">
            <w:pPr>
              <w:spacing w:line="273" w:lineRule="auto"/>
              <w:rPr>
                <w:rFonts w:hint="eastAsia" w:ascii="宋体" w:hAnsi="宋体" w:eastAsia="宋体" w:cs="宋体"/>
                <w:sz w:val="28"/>
                <w:szCs w:val="28"/>
              </w:rPr>
            </w:pPr>
          </w:p>
          <w:p w14:paraId="4EE5B9BB">
            <w:pPr>
              <w:spacing w:line="274" w:lineRule="auto"/>
              <w:rPr>
                <w:rFonts w:hint="eastAsia" w:ascii="宋体" w:hAnsi="宋体" w:eastAsia="宋体" w:cs="宋体"/>
                <w:sz w:val="28"/>
                <w:szCs w:val="28"/>
              </w:rPr>
            </w:pPr>
          </w:p>
          <w:p w14:paraId="5DE3857D">
            <w:pPr>
              <w:spacing w:line="274" w:lineRule="auto"/>
              <w:rPr>
                <w:rFonts w:hint="eastAsia" w:ascii="宋体" w:hAnsi="宋体" w:eastAsia="宋体" w:cs="宋体"/>
                <w:sz w:val="28"/>
                <w:szCs w:val="28"/>
              </w:rPr>
            </w:pPr>
          </w:p>
          <w:p w14:paraId="078AAF49">
            <w:pPr>
              <w:pStyle w:val="11"/>
              <w:spacing w:before="78" w:line="292" w:lineRule="auto"/>
              <w:ind w:left="178" w:right="157" w:firstLine="2"/>
              <w:rPr>
                <w:rFonts w:hint="eastAsia" w:ascii="宋体" w:hAnsi="宋体" w:eastAsia="宋体" w:cs="宋体"/>
                <w:sz w:val="28"/>
                <w:szCs w:val="28"/>
              </w:rPr>
            </w:pPr>
            <w:r>
              <w:rPr>
                <w:rFonts w:hint="eastAsia" w:ascii="宋体" w:hAnsi="宋体" w:eastAsia="宋体" w:cs="宋体"/>
                <w:spacing w:val="-6"/>
                <w:sz w:val="28"/>
                <w:szCs w:val="28"/>
              </w:rPr>
              <w:t>离心式空</w:t>
            </w:r>
            <w:r>
              <w:rPr>
                <w:rFonts w:hint="eastAsia" w:ascii="宋体" w:hAnsi="宋体" w:eastAsia="宋体" w:cs="宋体"/>
                <w:sz w:val="28"/>
                <w:szCs w:val="28"/>
              </w:rPr>
              <w:t xml:space="preserve"> </w:t>
            </w:r>
            <w:r>
              <w:rPr>
                <w:rFonts w:hint="eastAsia" w:ascii="宋体" w:hAnsi="宋体" w:eastAsia="宋体" w:cs="宋体"/>
                <w:spacing w:val="-5"/>
                <w:sz w:val="28"/>
                <w:szCs w:val="28"/>
              </w:rPr>
              <w:t>气压缩机</w:t>
            </w:r>
          </w:p>
        </w:tc>
        <w:tc>
          <w:tcPr>
            <w:tcW w:w="1988" w:type="dxa"/>
            <w:vAlign w:val="top"/>
          </w:tcPr>
          <w:p w14:paraId="0CC93B28">
            <w:pPr>
              <w:pStyle w:val="11"/>
              <w:spacing w:before="115" w:line="214" w:lineRule="auto"/>
              <w:ind w:left="527"/>
              <w:rPr>
                <w:rFonts w:hint="eastAsia" w:ascii="宋体" w:hAnsi="宋体" w:eastAsia="宋体" w:cs="宋体"/>
                <w:sz w:val="28"/>
                <w:szCs w:val="28"/>
              </w:rPr>
            </w:pPr>
            <w:r>
              <w:rPr>
                <w:rFonts w:hint="eastAsia" w:ascii="宋体" w:hAnsi="宋体" w:eastAsia="宋体" w:cs="宋体"/>
                <w:spacing w:val="-4"/>
                <w:sz w:val="28"/>
                <w:szCs w:val="28"/>
              </w:rPr>
              <w:t>额定流量</w:t>
            </w:r>
          </w:p>
        </w:tc>
        <w:tc>
          <w:tcPr>
            <w:tcW w:w="1512" w:type="dxa"/>
            <w:vAlign w:val="top"/>
          </w:tcPr>
          <w:p w14:paraId="47596357">
            <w:pPr>
              <w:spacing w:before="134" w:line="207" w:lineRule="auto"/>
              <w:ind w:left="147"/>
              <w:rPr>
                <w:rFonts w:hint="eastAsia" w:ascii="宋体" w:hAnsi="宋体" w:eastAsia="宋体" w:cs="宋体"/>
                <w:sz w:val="28"/>
                <w:szCs w:val="28"/>
              </w:rPr>
            </w:pPr>
            <w:r>
              <w:rPr>
                <w:rFonts w:hint="eastAsia" w:ascii="宋体" w:hAnsi="宋体" w:eastAsia="宋体" w:cs="宋体"/>
                <w:spacing w:val="-1"/>
                <w:sz w:val="28"/>
                <w:szCs w:val="28"/>
                <w:lang w:val="en-US" w:eastAsia="zh-CN"/>
              </w:rPr>
              <w:t>28</w:t>
            </w:r>
            <w:r>
              <w:rPr>
                <w:rFonts w:hint="eastAsia" w:ascii="宋体" w:hAnsi="宋体" w:eastAsia="宋体" w:cs="宋体"/>
                <w:spacing w:val="-1"/>
                <w:sz w:val="28"/>
                <w:szCs w:val="28"/>
              </w:rPr>
              <w:t>0Nm</w:t>
            </w:r>
            <w:r>
              <w:rPr>
                <w:rFonts w:hint="eastAsia" w:ascii="宋体" w:hAnsi="宋体" w:eastAsia="宋体" w:cs="宋体"/>
                <w:spacing w:val="-1"/>
                <w:position w:val="7"/>
                <w:sz w:val="28"/>
                <w:szCs w:val="28"/>
              </w:rPr>
              <w:t>3</w:t>
            </w:r>
            <w:r>
              <w:rPr>
                <w:rFonts w:hint="eastAsia" w:ascii="宋体" w:hAnsi="宋体" w:eastAsia="宋体" w:cs="宋体"/>
                <w:spacing w:val="-1"/>
                <w:sz w:val="28"/>
                <w:szCs w:val="28"/>
              </w:rPr>
              <w:t>/min</w:t>
            </w:r>
          </w:p>
        </w:tc>
        <w:tc>
          <w:tcPr>
            <w:tcW w:w="3400" w:type="dxa"/>
            <w:tcBorders>
              <w:right w:val="single" w:color="000000" w:sz="6" w:space="0"/>
            </w:tcBorders>
            <w:vAlign w:val="top"/>
          </w:tcPr>
          <w:p w14:paraId="386CEDA1">
            <w:pPr>
              <w:pStyle w:val="11"/>
              <w:spacing w:before="115" w:line="214" w:lineRule="auto"/>
              <w:ind w:left="859"/>
              <w:rPr>
                <w:rFonts w:hint="eastAsia" w:ascii="宋体" w:hAnsi="宋体" w:eastAsia="宋体" w:cs="宋体"/>
                <w:sz w:val="28"/>
                <w:szCs w:val="28"/>
              </w:rPr>
            </w:pPr>
            <w:r>
              <w:rPr>
                <w:rFonts w:hint="eastAsia" w:ascii="宋体" w:hAnsi="宋体" w:eastAsia="宋体" w:cs="宋体"/>
                <w:spacing w:val="-1"/>
                <w:sz w:val="28"/>
                <w:szCs w:val="28"/>
              </w:rPr>
              <w:t>20℃</w:t>
            </w:r>
            <w:r>
              <w:rPr>
                <w:rFonts w:hint="eastAsia" w:ascii="宋体" w:hAnsi="宋体" w:eastAsia="宋体" w:cs="宋体"/>
                <w:spacing w:val="-1"/>
                <w:sz w:val="28"/>
                <w:szCs w:val="28"/>
              </w:rPr>
              <w:t>标况流量。</w:t>
            </w:r>
          </w:p>
        </w:tc>
      </w:tr>
      <w:tr w14:paraId="261FF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81" w:type="dxa"/>
            <w:vMerge w:val="continue"/>
            <w:vAlign w:val="top"/>
          </w:tcPr>
          <w:p w14:paraId="21B7D6BA">
            <w:pPr>
              <w:rPr>
                <w:rFonts w:hint="eastAsia" w:ascii="宋体" w:hAnsi="宋体" w:eastAsia="宋体" w:cs="宋体"/>
                <w:sz w:val="28"/>
                <w:szCs w:val="28"/>
              </w:rPr>
            </w:pPr>
          </w:p>
        </w:tc>
        <w:tc>
          <w:tcPr>
            <w:tcW w:w="1988" w:type="dxa"/>
            <w:vAlign w:val="top"/>
          </w:tcPr>
          <w:p w14:paraId="58BD91FD">
            <w:pPr>
              <w:pStyle w:val="11"/>
              <w:spacing w:before="117" w:line="213" w:lineRule="auto"/>
              <w:ind w:left="282"/>
              <w:rPr>
                <w:rFonts w:hint="eastAsia" w:ascii="宋体" w:hAnsi="宋体" w:eastAsia="宋体" w:cs="宋体"/>
                <w:sz w:val="28"/>
                <w:szCs w:val="28"/>
              </w:rPr>
            </w:pPr>
            <w:r>
              <w:rPr>
                <w:rFonts w:hint="eastAsia" w:ascii="宋体" w:hAnsi="宋体" w:eastAsia="宋体" w:cs="宋体"/>
                <w:spacing w:val="-2"/>
                <w:sz w:val="28"/>
                <w:szCs w:val="28"/>
              </w:rPr>
              <w:t>流量调节范围</w:t>
            </w:r>
          </w:p>
        </w:tc>
        <w:tc>
          <w:tcPr>
            <w:tcW w:w="1512" w:type="dxa"/>
            <w:vAlign w:val="top"/>
          </w:tcPr>
          <w:p w14:paraId="2E2724BC">
            <w:pPr>
              <w:spacing w:before="158" w:line="188" w:lineRule="auto"/>
              <w:ind w:left="225"/>
              <w:rPr>
                <w:rFonts w:hint="eastAsia" w:ascii="宋体" w:hAnsi="宋体" w:eastAsia="宋体" w:cs="宋体"/>
                <w:sz w:val="28"/>
                <w:szCs w:val="28"/>
              </w:rPr>
            </w:pPr>
            <w:r>
              <w:rPr>
                <w:rFonts w:hint="eastAsia" w:ascii="宋体" w:hAnsi="宋体" w:eastAsia="宋体" w:cs="宋体"/>
                <w:spacing w:val="-2"/>
                <w:sz w:val="28"/>
                <w:szCs w:val="28"/>
              </w:rPr>
              <w:t>70%-100%</w:t>
            </w:r>
          </w:p>
        </w:tc>
        <w:tc>
          <w:tcPr>
            <w:tcW w:w="3400" w:type="dxa"/>
            <w:tcBorders>
              <w:right w:val="single" w:color="000000" w:sz="6" w:space="0"/>
            </w:tcBorders>
            <w:vAlign w:val="top"/>
          </w:tcPr>
          <w:p w14:paraId="12A936CE">
            <w:pPr>
              <w:pStyle w:val="11"/>
              <w:spacing w:before="117" w:line="213" w:lineRule="auto"/>
              <w:ind w:left="386"/>
              <w:rPr>
                <w:rFonts w:hint="eastAsia" w:ascii="宋体" w:hAnsi="宋体" w:eastAsia="宋体" w:cs="宋体"/>
                <w:sz w:val="28"/>
                <w:szCs w:val="28"/>
              </w:rPr>
            </w:pPr>
            <w:r>
              <w:rPr>
                <w:rFonts w:hint="eastAsia" w:ascii="宋体" w:hAnsi="宋体" w:eastAsia="宋体" w:cs="宋体"/>
                <w:spacing w:val="-1"/>
                <w:sz w:val="28"/>
                <w:szCs w:val="28"/>
              </w:rPr>
              <w:t>调节范围可超出此界限。</w:t>
            </w:r>
          </w:p>
        </w:tc>
      </w:tr>
      <w:tr w14:paraId="58F4A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81" w:type="dxa"/>
            <w:vMerge w:val="continue"/>
            <w:vAlign w:val="top"/>
          </w:tcPr>
          <w:p w14:paraId="17665BE1">
            <w:pPr>
              <w:rPr>
                <w:rFonts w:hint="eastAsia" w:ascii="宋体" w:hAnsi="宋体" w:eastAsia="宋体" w:cs="宋体"/>
                <w:sz w:val="28"/>
                <w:szCs w:val="28"/>
              </w:rPr>
            </w:pPr>
          </w:p>
        </w:tc>
        <w:tc>
          <w:tcPr>
            <w:tcW w:w="1988" w:type="dxa"/>
            <w:vAlign w:val="top"/>
          </w:tcPr>
          <w:p w14:paraId="5249DDBE">
            <w:pPr>
              <w:pStyle w:val="11"/>
              <w:spacing w:before="118" w:line="212" w:lineRule="auto"/>
              <w:ind w:left="524"/>
              <w:rPr>
                <w:rFonts w:hint="eastAsia" w:ascii="宋体" w:hAnsi="宋体" w:eastAsia="宋体" w:cs="宋体"/>
                <w:sz w:val="28"/>
                <w:szCs w:val="28"/>
              </w:rPr>
            </w:pPr>
            <w:r>
              <w:rPr>
                <w:rFonts w:hint="eastAsia" w:ascii="宋体" w:hAnsi="宋体" w:eastAsia="宋体" w:cs="宋体"/>
                <w:spacing w:val="-4"/>
                <w:sz w:val="28"/>
                <w:szCs w:val="28"/>
              </w:rPr>
              <w:t>排气温度</w:t>
            </w:r>
          </w:p>
        </w:tc>
        <w:tc>
          <w:tcPr>
            <w:tcW w:w="1512" w:type="dxa"/>
            <w:vAlign w:val="top"/>
          </w:tcPr>
          <w:p w14:paraId="2B3AFBF3">
            <w:pPr>
              <w:pStyle w:val="11"/>
              <w:spacing w:before="118" w:line="212" w:lineRule="auto"/>
              <w:ind w:left="399"/>
              <w:rPr>
                <w:rFonts w:hint="eastAsia" w:ascii="宋体" w:hAnsi="宋体" w:eastAsia="宋体" w:cs="宋体"/>
                <w:sz w:val="28"/>
                <w:szCs w:val="28"/>
              </w:rPr>
            </w:pPr>
            <w:r>
              <w:rPr>
                <w:rFonts w:hint="eastAsia" w:ascii="宋体" w:hAnsi="宋体" w:eastAsia="宋体" w:cs="宋体"/>
                <w:spacing w:val="-20"/>
                <w:sz w:val="28"/>
                <w:szCs w:val="28"/>
              </w:rPr>
              <w:t>≥</w:t>
            </w:r>
            <w:r>
              <w:rPr>
                <w:rFonts w:hint="eastAsia" w:ascii="宋体" w:hAnsi="宋体" w:eastAsia="宋体" w:cs="宋体"/>
                <w:spacing w:val="-90"/>
                <w:sz w:val="28"/>
                <w:szCs w:val="28"/>
              </w:rPr>
              <w:t xml:space="preserve"> </w:t>
            </w:r>
            <w:r>
              <w:rPr>
                <w:rFonts w:hint="eastAsia" w:ascii="宋体" w:hAnsi="宋体" w:eastAsia="宋体" w:cs="宋体"/>
                <w:spacing w:val="-20"/>
                <w:sz w:val="28"/>
                <w:szCs w:val="28"/>
              </w:rPr>
              <w:t>110</w:t>
            </w:r>
            <w:r>
              <w:rPr>
                <w:rFonts w:hint="eastAsia" w:ascii="宋体" w:hAnsi="宋体" w:eastAsia="宋体" w:cs="宋体"/>
                <w:spacing w:val="-20"/>
                <w:sz w:val="28"/>
                <w:szCs w:val="28"/>
              </w:rPr>
              <w:t>℃</w:t>
            </w:r>
          </w:p>
        </w:tc>
        <w:tc>
          <w:tcPr>
            <w:tcW w:w="3400" w:type="dxa"/>
            <w:tcBorders>
              <w:right w:val="single" w:color="000000" w:sz="6" w:space="0"/>
            </w:tcBorders>
            <w:vAlign w:val="top"/>
          </w:tcPr>
          <w:p w14:paraId="1E5FA1D5">
            <w:pPr>
              <w:pStyle w:val="11"/>
              <w:spacing w:before="118" w:line="212" w:lineRule="auto"/>
              <w:ind w:left="991"/>
              <w:rPr>
                <w:rFonts w:hint="eastAsia" w:ascii="宋体" w:hAnsi="宋体" w:eastAsia="宋体" w:cs="宋体"/>
                <w:sz w:val="28"/>
                <w:szCs w:val="28"/>
              </w:rPr>
            </w:pPr>
            <w:r>
              <w:rPr>
                <w:rFonts w:hint="eastAsia" w:ascii="宋体" w:hAnsi="宋体" w:eastAsia="宋体" w:cs="宋体"/>
                <w:spacing w:val="-3"/>
                <w:sz w:val="28"/>
                <w:szCs w:val="28"/>
              </w:rPr>
              <w:t>末级出口处。</w:t>
            </w:r>
          </w:p>
        </w:tc>
      </w:tr>
      <w:tr w14:paraId="53FA8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81" w:type="dxa"/>
            <w:vMerge w:val="continue"/>
            <w:vAlign w:val="top"/>
          </w:tcPr>
          <w:p w14:paraId="5741E53F">
            <w:pPr>
              <w:rPr>
                <w:rFonts w:hint="eastAsia" w:ascii="宋体" w:hAnsi="宋体" w:eastAsia="宋体" w:cs="宋体"/>
                <w:sz w:val="28"/>
                <w:szCs w:val="28"/>
              </w:rPr>
            </w:pPr>
          </w:p>
        </w:tc>
        <w:tc>
          <w:tcPr>
            <w:tcW w:w="1988" w:type="dxa"/>
            <w:vAlign w:val="top"/>
          </w:tcPr>
          <w:p w14:paraId="110EB15A">
            <w:pPr>
              <w:pStyle w:val="11"/>
              <w:spacing w:before="120" w:line="211" w:lineRule="auto"/>
              <w:ind w:left="524"/>
              <w:rPr>
                <w:rFonts w:hint="eastAsia" w:ascii="宋体" w:hAnsi="宋体" w:eastAsia="宋体" w:cs="宋体"/>
                <w:sz w:val="28"/>
                <w:szCs w:val="28"/>
              </w:rPr>
            </w:pPr>
            <w:r>
              <w:rPr>
                <w:rFonts w:hint="eastAsia" w:ascii="宋体" w:hAnsi="宋体" w:eastAsia="宋体" w:cs="宋体"/>
                <w:spacing w:val="-4"/>
                <w:sz w:val="28"/>
                <w:szCs w:val="28"/>
              </w:rPr>
              <w:t>排气压力</w:t>
            </w:r>
          </w:p>
        </w:tc>
        <w:tc>
          <w:tcPr>
            <w:tcW w:w="1512" w:type="dxa"/>
            <w:vAlign w:val="top"/>
          </w:tcPr>
          <w:p w14:paraId="4E60B1C1">
            <w:pPr>
              <w:spacing w:before="158" w:line="188" w:lineRule="auto"/>
              <w:ind w:left="395"/>
              <w:rPr>
                <w:rFonts w:hint="eastAsia" w:ascii="宋体" w:hAnsi="宋体" w:eastAsia="宋体" w:cs="宋体"/>
                <w:sz w:val="28"/>
                <w:szCs w:val="28"/>
              </w:rPr>
            </w:pPr>
            <w:r>
              <w:rPr>
                <w:rFonts w:hint="eastAsia" w:ascii="宋体" w:hAnsi="宋体" w:eastAsia="宋体" w:cs="宋体"/>
                <w:spacing w:val="-2"/>
                <w:sz w:val="28"/>
                <w:szCs w:val="28"/>
              </w:rPr>
              <w:t>0.</w:t>
            </w:r>
            <w:r>
              <w:rPr>
                <w:rFonts w:hint="eastAsia" w:ascii="宋体" w:hAnsi="宋体" w:eastAsia="宋体" w:cs="宋体"/>
                <w:spacing w:val="-2"/>
                <w:sz w:val="28"/>
                <w:szCs w:val="28"/>
                <w:lang w:val="en-US" w:eastAsia="zh-CN"/>
              </w:rPr>
              <w:t>7</w:t>
            </w:r>
            <w:r>
              <w:rPr>
                <w:rFonts w:hint="eastAsia" w:ascii="宋体" w:hAnsi="宋体" w:eastAsia="宋体" w:cs="宋体"/>
                <w:spacing w:val="-2"/>
                <w:sz w:val="28"/>
                <w:szCs w:val="28"/>
              </w:rPr>
              <w:t>Mpa</w:t>
            </w:r>
          </w:p>
        </w:tc>
        <w:tc>
          <w:tcPr>
            <w:tcW w:w="3400" w:type="dxa"/>
            <w:tcBorders>
              <w:right w:val="single" w:color="000000" w:sz="6" w:space="0"/>
            </w:tcBorders>
            <w:vAlign w:val="top"/>
          </w:tcPr>
          <w:p w14:paraId="7CABFB62">
            <w:pPr>
              <w:pStyle w:val="11"/>
              <w:spacing w:before="120" w:line="211" w:lineRule="auto"/>
              <w:ind w:left="393"/>
              <w:rPr>
                <w:rFonts w:hint="eastAsia" w:ascii="宋体" w:hAnsi="宋体" w:eastAsia="宋体" w:cs="宋体"/>
                <w:sz w:val="28"/>
                <w:szCs w:val="28"/>
              </w:rPr>
            </w:pPr>
            <w:r>
              <w:rPr>
                <w:rFonts w:hint="eastAsia" w:ascii="宋体" w:hAnsi="宋体" w:eastAsia="宋体" w:cs="宋体"/>
                <w:spacing w:val="-2"/>
                <w:sz w:val="28"/>
                <w:szCs w:val="28"/>
              </w:rPr>
              <w:t>具备排气压力可调功能。</w:t>
            </w:r>
          </w:p>
        </w:tc>
      </w:tr>
      <w:tr w14:paraId="700F3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81" w:type="dxa"/>
            <w:vMerge w:val="continue"/>
            <w:vAlign w:val="top"/>
          </w:tcPr>
          <w:p w14:paraId="4683DBB5">
            <w:pPr>
              <w:rPr>
                <w:rFonts w:hint="eastAsia" w:ascii="宋体" w:hAnsi="宋体" w:eastAsia="宋体" w:cs="宋体"/>
                <w:sz w:val="28"/>
                <w:szCs w:val="28"/>
              </w:rPr>
            </w:pPr>
          </w:p>
        </w:tc>
        <w:tc>
          <w:tcPr>
            <w:tcW w:w="1988" w:type="dxa"/>
            <w:vAlign w:val="top"/>
          </w:tcPr>
          <w:p w14:paraId="61F9F79A">
            <w:pPr>
              <w:pStyle w:val="11"/>
              <w:spacing w:before="120" w:line="211" w:lineRule="auto"/>
              <w:ind w:left="789"/>
              <w:rPr>
                <w:rFonts w:hint="eastAsia" w:ascii="宋体" w:hAnsi="宋体" w:eastAsia="宋体" w:cs="宋体"/>
                <w:sz w:val="28"/>
                <w:szCs w:val="28"/>
              </w:rPr>
            </w:pPr>
            <w:r>
              <w:rPr>
                <w:rFonts w:hint="eastAsia" w:ascii="宋体" w:hAnsi="宋体" w:eastAsia="宋体" w:cs="宋体"/>
                <w:spacing w:val="-19"/>
                <w:sz w:val="28"/>
                <w:szCs w:val="28"/>
              </w:rPr>
              <w:t>台数</w:t>
            </w:r>
          </w:p>
        </w:tc>
        <w:tc>
          <w:tcPr>
            <w:tcW w:w="1512" w:type="dxa"/>
            <w:vAlign w:val="top"/>
          </w:tcPr>
          <w:p w14:paraId="7FD48732">
            <w:pPr>
              <w:pStyle w:val="11"/>
              <w:spacing w:before="120" w:line="211" w:lineRule="auto"/>
              <w:ind w:left="556"/>
              <w:rPr>
                <w:rFonts w:hint="eastAsia" w:ascii="宋体" w:hAnsi="宋体" w:eastAsia="宋体" w:cs="宋体"/>
                <w:sz w:val="28"/>
                <w:szCs w:val="28"/>
              </w:rPr>
            </w:pPr>
            <w:r>
              <w:rPr>
                <w:rFonts w:hint="eastAsia" w:ascii="宋体" w:hAnsi="宋体" w:eastAsia="宋体" w:cs="宋体"/>
                <w:spacing w:val="-6"/>
                <w:sz w:val="28"/>
                <w:szCs w:val="28"/>
                <w:lang w:val="en-US" w:eastAsia="zh-CN"/>
              </w:rPr>
              <w:t>6</w:t>
            </w:r>
            <w:r>
              <w:rPr>
                <w:rFonts w:hint="eastAsia" w:ascii="宋体" w:hAnsi="宋体" w:eastAsia="宋体" w:cs="宋体"/>
                <w:spacing w:val="-6"/>
                <w:sz w:val="28"/>
                <w:szCs w:val="28"/>
              </w:rPr>
              <w:t>台</w:t>
            </w:r>
          </w:p>
        </w:tc>
        <w:tc>
          <w:tcPr>
            <w:tcW w:w="3400" w:type="dxa"/>
            <w:tcBorders>
              <w:right w:val="single" w:color="000000" w:sz="6" w:space="0"/>
            </w:tcBorders>
            <w:vAlign w:val="top"/>
          </w:tcPr>
          <w:p w14:paraId="3E19BE27">
            <w:pPr>
              <w:spacing w:before="154" w:line="192" w:lineRule="auto"/>
              <w:ind w:left="1663"/>
              <w:rPr>
                <w:rFonts w:hint="eastAsia" w:ascii="宋体" w:hAnsi="宋体" w:eastAsia="宋体" w:cs="宋体"/>
                <w:sz w:val="28"/>
                <w:szCs w:val="28"/>
              </w:rPr>
            </w:pPr>
            <w:r>
              <w:rPr>
                <w:rFonts w:hint="eastAsia" w:ascii="宋体" w:hAnsi="宋体" w:eastAsia="宋体" w:cs="宋体"/>
                <w:sz w:val="28"/>
                <w:szCs w:val="28"/>
              </w:rPr>
              <w:t>/</w:t>
            </w:r>
          </w:p>
        </w:tc>
      </w:tr>
      <w:tr w14:paraId="72934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81" w:type="dxa"/>
            <w:vMerge w:val="continue"/>
            <w:vAlign w:val="top"/>
          </w:tcPr>
          <w:p w14:paraId="06EE7028">
            <w:pPr>
              <w:rPr>
                <w:rFonts w:hint="eastAsia" w:ascii="宋体" w:hAnsi="宋体" w:eastAsia="宋体" w:cs="宋体"/>
                <w:sz w:val="28"/>
                <w:szCs w:val="28"/>
              </w:rPr>
            </w:pPr>
          </w:p>
        </w:tc>
        <w:tc>
          <w:tcPr>
            <w:tcW w:w="1988" w:type="dxa"/>
            <w:vAlign w:val="top"/>
          </w:tcPr>
          <w:p w14:paraId="159BE97E">
            <w:pPr>
              <w:pStyle w:val="11"/>
              <w:spacing w:before="117" w:line="260" w:lineRule="auto"/>
              <w:ind w:left="399" w:right="150" w:hanging="226"/>
              <w:rPr>
                <w:rFonts w:hint="eastAsia" w:ascii="宋体" w:hAnsi="宋体" w:eastAsia="宋体" w:cs="宋体"/>
                <w:sz w:val="28"/>
                <w:szCs w:val="28"/>
              </w:rPr>
            </w:pPr>
            <w:r>
              <w:rPr>
                <w:rFonts w:hint="eastAsia" w:ascii="宋体" w:hAnsi="宋体" w:eastAsia="宋体" w:cs="宋体"/>
                <w:spacing w:val="-3"/>
                <w:sz w:val="28"/>
                <w:szCs w:val="28"/>
              </w:rPr>
              <w:t>系统可适用的最</w:t>
            </w:r>
            <w:r>
              <w:rPr>
                <w:rFonts w:hint="eastAsia" w:ascii="宋体" w:hAnsi="宋体" w:eastAsia="宋体" w:cs="宋体"/>
                <w:sz w:val="28"/>
                <w:szCs w:val="28"/>
              </w:rPr>
              <w:t xml:space="preserve"> </w:t>
            </w:r>
            <w:r>
              <w:rPr>
                <w:rFonts w:hint="eastAsia" w:ascii="宋体" w:hAnsi="宋体" w:eastAsia="宋体" w:cs="宋体"/>
                <w:spacing w:val="-2"/>
                <w:sz w:val="28"/>
                <w:szCs w:val="28"/>
              </w:rPr>
              <w:t>低运行压力</w:t>
            </w:r>
          </w:p>
        </w:tc>
        <w:tc>
          <w:tcPr>
            <w:tcW w:w="1512" w:type="dxa"/>
            <w:vAlign w:val="top"/>
          </w:tcPr>
          <w:p w14:paraId="544739EC">
            <w:pPr>
              <w:spacing w:line="287" w:lineRule="auto"/>
              <w:rPr>
                <w:rFonts w:hint="eastAsia" w:ascii="宋体" w:hAnsi="宋体" w:eastAsia="宋体" w:cs="宋体"/>
                <w:sz w:val="28"/>
                <w:szCs w:val="28"/>
              </w:rPr>
            </w:pPr>
          </w:p>
          <w:p w14:paraId="46894249">
            <w:pPr>
              <w:spacing w:before="69" w:line="188" w:lineRule="auto"/>
              <w:ind w:left="395"/>
              <w:rPr>
                <w:rFonts w:hint="eastAsia" w:ascii="宋体" w:hAnsi="宋体" w:eastAsia="宋体" w:cs="宋体"/>
                <w:sz w:val="28"/>
                <w:szCs w:val="28"/>
              </w:rPr>
            </w:pPr>
            <w:r>
              <w:rPr>
                <w:rFonts w:hint="eastAsia" w:ascii="宋体" w:hAnsi="宋体" w:eastAsia="宋体" w:cs="宋体"/>
                <w:spacing w:val="-2"/>
                <w:sz w:val="28"/>
                <w:szCs w:val="28"/>
              </w:rPr>
              <w:t>0.</w:t>
            </w:r>
            <w:r>
              <w:rPr>
                <w:rFonts w:hint="eastAsia" w:ascii="宋体" w:hAnsi="宋体" w:eastAsia="宋体" w:cs="宋体"/>
                <w:spacing w:val="-2"/>
                <w:sz w:val="28"/>
                <w:szCs w:val="28"/>
                <w:lang w:val="en-US" w:eastAsia="zh-CN"/>
              </w:rPr>
              <w:t>5</w:t>
            </w:r>
            <w:r>
              <w:rPr>
                <w:rFonts w:hint="eastAsia" w:ascii="宋体" w:hAnsi="宋体" w:eastAsia="宋体" w:cs="宋体"/>
                <w:spacing w:val="-2"/>
                <w:sz w:val="28"/>
                <w:szCs w:val="28"/>
              </w:rPr>
              <w:t>Mpa</w:t>
            </w:r>
          </w:p>
        </w:tc>
        <w:tc>
          <w:tcPr>
            <w:tcW w:w="3400" w:type="dxa"/>
            <w:tcBorders>
              <w:right w:val="single" w:color="000000" w:sz="6" w:space="0"/>
            </w:tcBorders>
            <w:vAlign w:val="top"/>
          </w:tcPr>
          <w:p w14:paraId="5F2F73FB">
            <w:pPr>
              <w:rPr>
                <w:rFonts w:hint="eastAsia" w:ascii="宋体" w:hAnsi="宋体" w:eastAsia="宋体" w:cs="宋体"/>
                <w:sz w:val="28"/>
                <w:szCs w:val="28"/>
              </w:rPr>
            </w:pPr>
          </w:p>
          <w:p w14:paraId="7F65F3B0">
            <w:pPr>
              <w:pStyle w:val="11"/>
              <w:spacing w:before="78" w:line="217" w:lineRule="auto"/>
              <w:ind w:left="659"/>
              <w:rPr>
                <w:rFonts w:hint="eastAsia" w:ascii="宋体" w:hAnsi="宋体" w:eastAsia="宋体" w:cs="宋体"/>
                <w:sz w:val="28"/>
                <w:szCs w:val="28"/>
              </w:rPr>
            </w:pPr>
            <w:r>
              <w:rPr>
                <w:rFonts w:hint="eastAsia" w:ascii="宋体" w:hAnsi="宋体" w:eastAsia="宋体" w:cs="宋体"/>
                <w:spacing w:val="-5"/>
                <w:sz w:val="28"/>
                <w:szCs w:val="28"/>
              </w:rPr>
              <w:t>以储罐处压力为准。</w:t>
            </w:r>
          </w:p>
        </w:tc>
      </w:tr>
      <w:tr w14:paraId="227E3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81" w:type="dxa"/>
            <w:vMerge w:val="continue"/>
            <w:tcBorders>
              <w:bottom w:val="single" w:color="000000" w:sz="2" w:space="0"/>
            </w:tcBorders>
            <w:vAlign w:val="top"/>
          </w:tcPr>
          <w:p w14:paraId="71117085">
            <w:pPr>
              <w:rPr>
                <w:rFonts w:hint="eastAsia" w:ascii="宋体" w:hAnsi="宋体" w:eastAsia="宋体" w:cs="宋体"/>
                <w:sz w:val="28"/>
                <w:szCs w:val="28"/>
              </w:rPr>
            </w:pPr>
          </w:p>
        </w:tc>
        <w:tc>
          <w:tcPr>
            <w:tcW w:w="1988" w:type="dxa"/>
            <w:shd w:val="clear" w:color="auto" w:fill="auto"/>
            <w:vAlign w:val="top"/>
          </w:tcPr>
          <w:p w14:paraId="6125F383">
            <w:pPr>
              <w:spacing w:line="279" w:lineRule="auto"/>
              <w:rPr>
                <w:rFonts w:hint="eastAsia" w:ascii="宋体" w:hAnsi="宋体" w:eastAsia="宋体" w:cs="宋体"/>
                <w:sz w:val="28"/>
                <w:szCs w:val="28"/>
              </w:rPr>
            </w:pPr>
          </w:p>
          <w:p w14:paraId="37D48F6B">
            <w:pPr>
              <w:spacing w:line="279" w:lineRule="auto"/>
              <w:rPr>
                <w:rFonts w:hint="eastAsia" w:ascii="宋体" w:hAnsi="宋体" w:eastAsia="宋体" w:cs="宋体"/>
                <w:sz w:val="28"/>
                <w:szCs w:val="28"/>
              </w:rPr>
            </w:pPr>
          </w:p>
          <w:p w14:paraId="2B512663">
            <w:pPr>
              <w:spacing w:line="279" w:lineRule="auto"/>
              <w:rPr>
                <w:rFonts w:hint="eastAsia" w:ascii="宋体" w:hAnsi="宋体" w:eastAsia="宋体" w:cs="宋体"/>
                <w:sz w:val="28"/>
                <w:szCs w:val="28"/>
              </w:rPr>
            </w:pPr>
          </w:p>
          <w:p w14:paraId="6F4DBB44">
            <w:pPr>
              <w:pStyle w:val="11"/>
              <w:spacing w:before="78" w:line="216" w:lineRule="auto"/>
              <w:ind w:left="518" w:leftChars="0"/>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pacing w:val="-2"/>
                <w:sz w:val="28"/>
                <w:szCs w:val="28"/>
              </w:rPr>
              <w:t>使用寿命</w:t>
            </w:r>
          </w:p>
        </w:tc>
        <w:tc>
          <w:tcPr>
            <w:tcW w:w="1512" w:type="dxa"/>
            <w:shd w:val="clear" w:color="auto" w:fill="auto"/>
            <w:vAlign w:val="top"/>
          </w:tcPr>
          <w:p w14:paraId="1A88748F">
            <w:pPr>
              <w:pStyle w:val="11"/>
              <w:spacing w:before="118" w:line="294" w:lineRule="auto"/>
              <w:ind w:left="165" w:right="150"/>
              <w:rPr>
                <w:rFonts w:hint="eastAsia" w:ascii="宋体" w:hAnsi="宋体" w:eastAsia="宋体" w:cs="宋体"/>
                <w:sz w:val="28"/>
                <w:szCs w:val="28"/>
              </w:rPr>
            </w:pPr>
            <w:r>
              <w:rPr>
                <w:rFonts w:hint="eastAsia" w:ascii="宋体" w:hAnsi="宋体" w:eastAsia="宋体" w:cs="宋体"/>
                <w:spacing w:val="-2"/>
                <w:sz w:val="28"/>
                <w:szCs w:val="28"/>
              </w:rPr>
              <w:t>连续无故障</w:t>
            </w:r>
            <w:r>
              <w:rPr>
                <w:rFonts w:hint="eastAsia" w:ascii="宋体" w:hAnsi="宋体" w:eastAsia="宋体" w:cs="宋体"/>
                <w:sz w:val="28"/>
                <w:szCs w:val="28"/>
              </w:rPr>
              <w:t xml:space="preserve"> </w:t>
            </w:r>
            <w:r>
              <w:rPr>
                <w:rFonts w:hint="eastAsia" w:ascii="宋体" w:hAnsi="宋体" w:eastAsia="宋体" w:cs="宋体"/>
                <w:spacing w:val="-7"/>
                <w:sz w:val="28"/>
                <w:szCs w:val="28"/>
              </w:rPr>
              <w:t>运行</w:t>
            </w:r>
            <w:r>
              <w:rPr>
                <w:rFonts w:hint="eastAsia" w:ascii="宋体" w:hAnsi="宋体" w:eastAsia="宋体" w:cs="宋体"/>
                <w:spacing w:val="-49"/>
                <w:sz w:val="28"/>
                <w:szCs w:val="28"/>
              </w:rPr>
              <w:t xml:space="preserve"> </w:t>
            </w:r>
            <w:r>
              <w:rPr>
                <w:rFonts w:hint="eastAsia" w:ascii="宋体" w:hAnsi="宋体" w:eastAsia="宋体" w:cs="宋体"/>
                <w:spacing w:val="-7"/>
                <w:sz w:val="28"/>
                <w:szCs w:val="28"/>
              </w:rPr>
              <w:t>5</w:t>
            </w:r>
            <w:r>
              <w:rPr>
                <w:rFonts w:hint="eastAsia" w:ascii="宋体" w:hAnsi="宋体" w:eastAsia="宋体" w:cs="宋体"/>
                <w:spacing w:val="12"/>
                <w:sz w:val="28"/>
                <w:szCs w:val="28"/>
              </w:rPr>
              <w:t xml:space="preserve"> </w:t>
            </w:r>
            <w:r>
              <w:rPr>
                <w:rFonts w:hint="eastAsia" w:ascii="宋体" w:hAnsi="宋体" w:eastAsia="宋体" w:cs="宋体"/>
                <w:spacing w:val="-7"/>
                <w:sz w:val="28"/>
                <w:szCs w:val="28"/>
              </w:rPr>
              <w:t>年；</w:t>
            </w:r>
          </w:p>
          <w:p w14:paraId="68F172FE">
            <w:pPr>
              <w:pStyle w:val="11"/>
              <w:spacing w:before="38" w:line="217" w:lineRule="auto"/>
              <w:ind w:left="169"/>
              <w:rPr>
                <w:rFonts w:hint="eastAsia" w:ascii="宋体" w:hAnsi="宋体" w:eastAsia="宋体" w:cs="宋体"/>
                <w:sz w:val="28"/>
                <w:szCs w:val="28"/>
              </w:rPr>
            </w:pPr>
            <w:r>
              <w:rPr>
                <w:rFonts w:hint="eastAsia" w:ascii="宋体" w:hAnsi="宋体" w:eastAsia="宋体" w:cs="宋体"/>
                <w:spacing w:val="-3"/>
                <w:sz w:val="28"/>
                <w:szCs w:val="28"/>
              </w:rPr>
              <w:t>整机设计寿</w:t>
            </w:r>
          </w:p>
          <w:p w14:paraId="418AE537">
            <w:pPr>
              <w:pStyle w:val="11"/>
              <w:spacing w:before="115" w:line="216" w:lineRule="auto"/>
              <w:ind w:left="107"/>
              <w:rPr>
                <w:rFonts w:hint="eastAsia" w:ascii="宋体" w:hAnsi="宋体" w:eastAsia="宋体" w:cs="宋体"/>
                <w:sz w:val="28"/>
                <w:szCs w:val="28"/>
              </w:rPr>
            </w:pPr>
            <w:r>
              <w:rPr>
                <w:rFonts w:hint="eastAsia" w:ascii="宋体" w:hAnsi="宋体" w:eastAsia="宋体" w:cs="宋体"/>
                <w:spacing w:val="-2"/>
                <w:sz w:val="28"/>
                <w:szCs w:val="28"/>
              </w:rPr>
              <w:t>命不低于</w:t>
            </w:r>
            <w:r>
              <w:rPr>
                <w:rFonts w:hint="eastAsia" w:ascii="宋体" w:hAnsi="宋体" w:eastAsia="宋体" w:cs="宋体"/>
                <w:spacing w:val="-51"/>
                <w:sz w:val="28"/>
                <w:szCs w:val="28"/>
              </w:rPr>
              <w:t xml:space="preserve"> </w:t>
            </w:r>
            <w:r>
              <w:rPr>
                <w:rFonts w:hint="eastAsia" w:ascii="宋体" w:hAnsi="宋体" w:eastAsia="宋体" w:cs="宋体"/>
                <w:spacing w:val="-2"/>
                <w:sz w:val="28"/>
                <w:szCs w:val="28"/>
              </w:rPr>
              <w:t>25</w:t>
            </w:r>
          </w:p>
          <w:p w14:paraId="66F319A3">
            <w:pPr>
              <w:pStyle w:val="11"/>
              <w:spacing w:before="119" w:line="214" w:lineRule="auto"/>
              <w:ind w:left="648" w:leftChars="0"/>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z w:val="28"/>
                <w:szCs w:val="28"/>
              </w:rPr>
              <w:t>年</w:t>
            </w:r>
          </w:p>
        </w:tc>
        <w:tc>
          <w:tcPr>
            <w:tcW w:w="3400" w:type="dxa"/>
            <w:tcBorders>
              <w:right w:val="single" w:color="000000" w:sz="6" w:space="0"/>
            </w:tcBorders>
            <w:shd w:val="clear" w:color="auto" w:fill="auto"/>
            <w:vAlign w:val="top"/>
          </w:tcPr>
          <w:p w14:paraId="71331859">
            <w:pPr>
              <w:spacing w:line="439" w:lineRule="auto"/>
              <w:rPr>
                <w:rFonts w:hint="eastAsia" w:ascii="宋体" w:hAnsi="宋体" w:eastAsia="宋体" w:cs="宋体"/>
                <w:sz w:val="28"/>
                <w:szCs w:val="28"/>
              </w:rPr>
            </w:pPr>
          </w:p>
          <w:p w14:paraId="648B898D">
            <w:pPr>
              <w:pStyle w:val="11"/>
              <w:spacing w:before="78" w:line="216" w:lineRule="auto"/>
              <w:ind w:left="295"/>
              <w:rPr>
                <w:rFonts w:hint="eastAsia" w:ascii="宋体" w:hAnsi="宋体" w:eastAsia="宋体" w:cs="宋体"/>
                <w:sz w:val="28"/>
                <w:szCs w:val="28"/>
              </w:rPr>
            </w:pPr>
            <w:r>
              <w:rPr>
                <w:rFonts w:hint="eastAsia" w:ascii="宋体" w:hAnsi="宋体" w:eastAsia="宋体" w:cs="宋体"/>
                <w:spacing w:val="-1"/>
                <w:sz w:val="28"/>
                <w:szCs w:val="28"/>
              </w:rPr>
              <w:t>压缩机可连续无故障运行</w:t>
            </w:r>
            <w:r>
              <w:rPr>
                <w:rFonts w:hint="eastAsia" w:ascii="宋体" w:hAnsi="宋体" w:eastAsia="宋体" w:cs="宋体"/>
                <w:spacing w:val="-45"/>
                <w:sz w:val="28"/>
                <w:szCs w:val="28"/>
              </w:rPr>
              <w:t xml:space="preserve"> </w:t>
            </w:r>
            <w:r>
              <w:rPr>
                <w:rFonts w:hint="eastAsia" w:ascii="宋体" w:hAnsi="宋体" w:eastAsia="宋体" w:cs="宋体"/>
                <w:spacing w:val="-1"/>
                <w:sz w:val="28"/>
                <w:szCs w:val="28"/>
              </w:rPr>
              <w:t>5</w:t>
            </w:r>
          </w:p>
          <w:p w14:paraId="09A4FA3D">
            <w:pPr>
              <w:pStyle w:val="11"/>
              <w:spacing w:before="119" w:line="293" w:lineRule="auto"/>
              <w:ind w:left="1468" w:leftChars="0" w:right="221" w:rightChars="0" w:hanging="1228" w:firstLineChars="0"/>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pacing w:val="-2"/>
                <w:sz w:val="28"/>
                <w:szCs w:val="28"/>
              </w:rPr>
              <w:t>年，整机设计寿命不低于</w:t>
            </w:r>
            <w:r>
              <w:rPr>
                <w:rFonts w:hint="eastAsia" w:ascii="宋体" w:hAnsi="宋体" w:eastAsia="宋体" w:cs="宋体"/>
                <w:spacing w:val="-48"/>
                <w:sz w:val="28"/>
                <w:szCs w:val="28"/>
              </w:rPr>
              <w:t xml:space="preserve"> </w:t>
            </w:r>
            <w:r>
              <w:rPr>
                <w:rFonts w:hint="eastAsia" w:ascii="宋体" w:hAnsi="宋体" w:eastAsia="宋体" w:cs="宋体"/>
                <w:spacing w:val="-2"/>
                <w:sz w:val="28"/>
                <w:szCs w:val="28"/>
              </w:rPr>
              <w:t>25</w:t>
            </w:r>
            <w:r>
              <w:rPr>
                <w:rFonts w:hint="eastAsia" w:ascii="宋体" w:hAnsi="宋体" w:eastAsia="宋体" w:cs="宋体"/>
                <w:sz w:val="28"/>
                <w:szCs w:val="28"/>
              </w:rPr>
              <w:t xml:space="preserve"> </w:t>
            </w:r>
            <w:r>
              <w:rPr>
                <w:rFonts w:hint="eastAsia" w:ascii="宋体" w:hAnsi="宋体" w:eastAsia="宋体" w:cs="宋体"/>
                <w:spacing w:val="-7"/>
                <w:sz w:val="28"/>
                <w:szCs w:val="28"/>
              </w:rPr>
              <w:t>年。</w:t>
            </w:r>
          </w:p>
        </w:tc>
      </w:tr>
    </w:tbl>
    <w:p w14:paraId="44F35300">
      <w:pPr>
        <w:spacing w:line="91" w:lineRule="auto"/>
        <w:rPr>
          <w:rFonts w:hint="eastAsia" w:ascii="宋体" w:hAnsi="宋体" w:eastAsia="宋体" w:cs="宋体"/>
          <w:sz w:val="28"/>
          <w:szCs w:val="28"/>
        </w:rPr>
      </w:pPr>
    </w:p>
    <w:p w14:paraId="10B3D07F">
      <w:pPr>
        <w:spacing w:line="333" w:lineRule="auto"/>
        <w:rPr>
          <w:rFonts w:hint="eastAsia" w:ascii="宋体" w:hAnsi="宋体" w:eastAsia="宋体" w:cs="宋体"/>
          <w:sz w:val="28"/>
          <w:szCs w:val="28"/>
        </w:rPr>
      </w:pPr>
    </w:p>
    <w:p w14:paraId="61717947">
      <w:pPr>
        <w:spacing w:before="65" w:line="226" w:lineRule="auto"/>
        <w:ind w:left="669"/>
        <w:outlineLvl w:val="1"/>
        <w:rPr>
          <w:rFonts w:hint="eastAsia" w:ascii="宋体" w:hAnsi="宋体" w:eastAsia="宋体" w:cs="宋体"/>
          <w:sz w:val="28"/>
          <w:szCs w:val="28"/>
          <w:lang w:eastAsia="zh-CN"/>
        </w:rPr>
      </w:pPr>
      <w:bookmarkStart w:id="23" w:name="bookmark19"/>
      <w:bookmarkEnd w:id="23"/>
      <w:bookmarkStart w:id="24" w:name="bookmark20"/>
      <w:bookmarkEnd w:id="24"/>
      <w:bookmarkStart w:id="25" w:name="_Toc14301"/>
      <w:r>
        <w:rPr>
          <w:rFonts w:hint="eastAsia" w:ascii="宋体" w:hAnsi="宋体" w:eastAsia="宋体" w:cs="宋体"/>
          <w:b/>
          <w:bCs/>
          <w:spacing w:val="-3"/>
          <w:sz w:val="28"/>
          <w:szCs w:val="28"/>
        </w:rPr>
        <w:t>2.3</w:t>
      </w:r>
      <w:r>
        <w:rPr>
          <w:rFonts w:hint="eastAsia" w:ascii="宋体" w:hAnsi="宋体" w:eastAsia="宋体" w:cs="宋体"/>
          <w:spacing w:val="37"/>
          <w:sz w:val="28"/>
          <w:szCs w:val="28"/>
        </w:rPr>
        <w:t xml:space="preserve"> </w:t>
      </w:r>
      <w:r>
        <w:rPr>
          <w:rFonts w:hint="eastAsia" w:ascii="宋体" w:hAnsi="宋体" w:eastAsia="宋体" w:cs="宋体"/>
          <w:b/>
          <w:bCs/>
          <w:spacing w:val="-3"/>
          <w:sz w:val="28"/>
          <w:szCs w:val="28"/>
          <w:lang w:eastAsia="zh-CN"/>
        </w:rPr>
        <w:t>干燥机</w:t>
      </w:r>
      <w:bookmarkEnd w:id="25"/>
    </w:p>
    <w:p w14:paraId="23321470">
      <w:pPr>
        <w:spacing w:line="244" w:lineRule="auto"/>
        <w:rPr>
          <w:rFonts w:hint="eastAsia" w:ascii="宋体" w:hAnsi="宋体" w:eastAsia="宋体" w:cs="宋体"/>
          <w:sz w:val="28"/>
          <w:szCs w:val="28"/>
        </w:rPr>
      </w:pPr>
    </w:p>
    <w:p w14:paraId="681240F4">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干燥机为零气耗干燥机，项目提供干燥机的能耗计算书，耗气量0%，提供第三方零气耗报告以及压力露点测试报告。干燥机自带电辅热，确保最不利情况下吸附剂充分再生。配置全进口不锈钢露点仪，测量压力露点，量程（-80℃ ~+20℃)。露点仪品牌：Michell、GE、维萨拉，实现露点控制，根据实时露点延长或缩短吸附剂的吸附时间或者控制电辅热的加热工况。</w:t>
      </w:r>
    </w:p>
    <w:p w14:paraId="35F24376">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设备自带自动排污装置（包含：手动阀和零气耗自动排 污阀）。干燥机单塔运行时间应不低于4小时。运行时空塔流速不高于0.2m/s，吸附剂接触时间不小于8s。</w:t>
      </w:r>
    </w:p>
    <w:p w14:paraId="79318B42">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干燥机吸附剂首次装填及合同能源管理期内的更换由投标方负责，并提供检验报告、合格证等。合同能源管理期结束移交前，投标方对吸附剂进行一次免费更换。</w:t>
      </w:r>
    </w:p>
    <w:p w14:paraId="331F54AC">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干燥机采用双塔式，吸附塔壳体采用碳钢材质，塔体内部做环氧树脂涂层。加热芯子采用不锈钢材质。</w:t>
      </w:r>
    </w:p>
    <w:p w14:paraId="28BCF603">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设备自带负荷节能控制系统及露点节能系统，在线实时 显示压力露点以及温度控制，确保系统在非满负荷运行条件 下的自动节能。干燥机后端配置流量调节阀门，确保在调节 阀后端失压时，干燥剂不会发生沸腾，能继续维持工作。</w:t>
      </w:r>
    </w:p>
    <w:p w14:paraId="52F13A07">
      <w:pPr>
        <w:spacing w:before="54" w:line="363" w:lineRule="auto"/>
        <w:ind w:left="41" w:right="90" w:firstLine="633"/>
        <w:jc w:val="center"/>
        <w:rPr>
          <w:rFonts w:hint="eastAsia" w:ascii="宋体" w:hAnsi="宋体" w:eastAsia="宋体" w:cs="宋体"/>
          <w:sz w:val="28"/>
          <w:szCs w:val="28"/>
        </w:rPr>
      </w:pPr>
      <w:r>
        <w:rPr>
          <w:rFonts w:hint="eastAsia" w:ascii="宋体" w:hAnsi="宋体" w:eastAsia="宋体" w:cs="宋体"/>
          <w:spacing w:val="-2"/>
          <w:sz w:val="28"/>
          <w:szCs w:val="28"/>
          <w:lang w:eastAsia="zh-CN"/>
        </w:rPr>
        <w:t>干燥机</w:t>
      </w:r>
      <w:r>
        <w:rPr>
          <w:rFonts w:hint="eastAsia" w:ascii="宋体" w:hAnsi="宋体" w:eastAsia="宋体" w:cs="宋体"/>
          <w:spacing w:val="-2"/>
          <w:sz w:val="28"/>
          <w:szCs w:val="28"/>
        </w:rPr>
        <w:t>的相关设备参数（以下是单台配置</w:t>
      </w:r>
      <w:r>
        <w:rPr>
          <w:rFonts w:hint="eastAsia" w:ascii="宋体" w:hAnsi="宋体" w:eastAsia="宋体" w:cs="宋体"/>
          <w:spacing w:val="8"/>
          <w:sz w:val="28"/>
          <w:szCs w:val="28"/>
        </w:rPr>
        <w:t>）：</w:t>
      </w:r>
    </w:p>
    <w:p w14:paraId="10C8DAFA">
      <w:pPr>
        <w:spacing w:line="115" w:lineRule="exact"/>
        <w:rPr>
          <w:rFonts w:hint="eastAsia" w:ascii="宋体" w:hAnsi="宋体" w:eastAsia="宋体" w:cs="宋体"/>
          <w:sz w:val="28"/>
          <w:szCs w:val="28"/>
        </w:rPr>
      </w:pPr>
    </w:p>
    <w:tbl>
      <w:tblPr>
        <w:tblStyle w:val="10"/>
        <w:tblW w:w="8181" w:type="dxa"/>
        <w:tblInd w:w="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1"/>
        <w:gridCol w:w="1988"/>
        <w:gridCol w:w="1874"/>
        <w:gridCol w:w="3038"/>
      </w:tblGrid>
      <w:tr w14:paraId="5372B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81" w:type="dxa"/>
            <w:vAlign w:val="top"/>
          </w:tcPr>
          <w:p w14:paraId="799D7F7C">
            <w:pPr>
              <w:pStyle w:val="11"/>
              <w:spacing w:before="119" w:line="215" w:lineRule="auto"/>
              <w:ind w:left="168"/>
              <w:rPr>
                <w:rFonts w:hint="eastAsia" w:ascii="宋体" w:hAnsi="宋体" w:eastAsia="宋体" w:cs="宋体"/>
                <w:sz w:val="28"/>
                <w:szCs w:val="28"/>
              </w:rPr>
            </w:pPr>
            <w:r>
              <w:rPr>
                <w:rFonts w:hint="eastAsia" w:ascii="宋体" w:hAnsi="宋体" w:eastAsia="宋体" w:cs="宋体"/>
                <w:spacing w:val="-3"/>
                <w:sz w:val="28"/>
                <w:szCs w:val="28"/>
              </w:rPr>
              <w:t>设备名称</w:t>
            </w:r>
          </w:p>
        </w:tc>
        <w:tc>
          <w:tcPr>
            <w:tcW w:w="3862" w:type="dxa"/>
            <w:gridSpan w:val="2"/>
            <w:vAlign w:val="top"/>
          </w:tcPr>
          <w:p w14:paraId="421407F0">
            <w:pPr>
              <w:pStyle w:val="11"/>
              <w:spacing w:before="119" w:line="215" w:lineRule="auto"/>
              <w:ind w:left="1277"/>
              <w:rPr>
                <w:rFonts w:hint="eastAsia" w:ascii="宋体" w:hAnsi="宋体" w:eastAsia="宋体" w:cs="宋体"/>
                <w:sz w:val="28"/>
                <w:szCs w:val="28"/>
              </w:rPr>
            </w:pPr>
            <w:r>
              <w:rPr>
                <w:rFonts w:hint="eastAsia" w:ascii="宋体" w:hAnsi="宋体" w:eastAsia="宋体" w:cs="宋体"/>
                <w:spacing w:val="-3"/>
                <w:sz w:val="28"/>
                <w:szCs w:val="28"/>
              </w:rPr>
              <w:t>设备参数</w:t>
            </w:r>
          </w:p>
        </w:tc>
        <w:tc>
          <w:tcPr>
            <w:tcW w:w="3038" w:type="dxa"/>
            <w:tcBorders>
              <w:right w:val="single" w:color="000000" w:sz="6" w:space="0"/>
            </w:tcBorders>
            <w:vAlign w:val="top"/>
          </w:tcPr>
          <w:p w14:paraId="7A14E26A">
            <w:pPr>
              <w:pStyle w:val="11"/>
              <w:spacing w:before="119" w:line="215" w:lineRule="auto"/>
              <w:ind w:left="1469"/>
              <w:rPr>
                <w:rFonts w:hint="eastAsia" w:ascii="宋体" w:hAnsi="宋体" w:eastAsia="宋体" w:cs="宋体"/>
                <w:sz w:val="28"/>
                <w:szCs w:val="28"/>
              </w:rPr>
            </w:pPr>
            <w:r>
              <w:rPr>
                <w:rFonts w:hint="eastAsia" w:ascii="宋体" w:hAnsi="宋体" w:eastAsia="宋体" w:cs="宋体"/>
                <w:spacing w:val="-7"/>
                <w:sz w:val="28"/>
                <w:szCs w:val="28"/>
              </w:rPr>
              <w:t>备注</w:t>
            </w:r>
          </w:p>
        </w:tc>
      </w:tr>
      <w:tr w14:paraId="4B7ED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81" w:type="dxa"/>
            <w:vMerge w:val="restart"/>
            <w:tcBorders>
              <w:bottom w:val="nil"/>
            </w:tcBorders>
            <w:vAlign w:val="top"/>
          </w:tcPr>
          <w:p w14:paraId="120C6E45">
            <w:pPr>
              <w:spacing w:line="246" w:lineRule="auto"/>
              <w:rPr>
                <w:rFonts w:hint="eastAsia" w:ascii="宋体" w:hAnsi="宋体" w:eastAsia="宋体" w:cs="宋体"/>
                <w:sz w:val="28"/>
                <w:szCs w:val="28"/>
              </w:rPr>
            </w:pPr>
          </w:p>
          <w:p w14:paraId="6F89CE53">
            <w:pPr>
              <w:spacing w:line="246" w:lineRule="auto"/>
              <w:rPr>
                <w:rFonts w:hint="eastAsia" w:ascii="宋体" w:hAnsi="宋体" w:eastAsia="宋体" w:cs="宋体"/>
                <w:sz w:val="28"/>
                <w:szCs w:val="28"/>
              </w:rPr>
            </w:pPr>
          </w:p>
          <w:p w14:paraId="7D653A2E">
            <w:pPr>
              <w:spacing w:line="246" w:lineRule="auto"/>
              <w:rPr>
                <w:rFonts w:hint="eastAsia" w:ascii="宋体" w:hAnsi="宋体" w:eastAsia="宋体" w:cs="宋体"/>
                <w:sz w:val="28"/>
                <w:szCs w:val="28"/>
              </w:rPr>
            </w:pPr>
          </w:p>
          <w:p w14:paraId="48334D2F">
            <w:pPr>
              <w:spacing w:line="246" w:lineRule="auto"/>
              <w:rPr>
                <w:rFonts w:hint="eastAsia" w:ascii="宋体" w:hAnsi="宋体" w:eastAsia="宋体" w:cs="宋体"/>
                <w:sz w:val="28"/>
                <w:szCs w:val="28"/>
              </w:rPr>
            </w:pPr>
          </w:p>
          <w:p w14:paraId="05837298">
            <w:pPr>
              <w:spacing w:line="246" w:lineRule="auto"/>
              <w:rPr>
                <w:rFonts w:hint="eastAsia" w:ascii="宋体" w:hAnsi="宋体" w:eastAsia="宋体" w:cs="宋体"/>
                <w:sz w:val="28"/>
                <w:szCs w:val="28"/>
              </w:rPr>
            </w:pPr>
          </w:p>
          <w:p w14:paraId="1B2A6028">
            <w:pPr>
              <w:spacing w:line="246" w:lineRule="auto"/>
              <w:rPr>
                <w:rFonts w:hint="eastAsia" w:ascii="宋体" w:hAnsi="宋体" w:eastAsia="宋体" w:cs="宋体"/>
                <w:sz w:val="28"/>
                <w:szCs w:val="28"/>
              </w:rPr>
            </w:pPr>
          </w:p>
          <w:p w14:paraId="4C58D443">
            <w:pPr>
              <w:spacing w:line="246" w:lineRule="auto"/>
              <w:rPr>
                <w:rFonts w:hint="eastAsia" w:ascii="宋体" w:hAnsi="宋体" w:eastAsia="宋体" w:cs="宋体"/>
                <w:sz w:val="28"/>
                <w:szCs w:val="28"/>
              </w:rPr>
            </w:pPr>
          </w:p>
          <w:p w14:paraId="0BEB12D5">
            <w:pPr>
              <w:spacing w:line="247" w:lineRule="auto"/>
              <w:rPr>
                <w:rFonts w:hint="eastAsia" w:ascii="宋体" w:hAnsi="宋体" w:eastAsia="宋体" w:cs="宋体"/>
                <w:sz w:val="28"/>
                <w:szCs w:val="28"/>
              </w:rPr>
            </w:pPr>
          </w:p>
          <w:p w14:paraId="2CB2A60A">
            <w:pPr>
              <w:spacing w:line="247" w:lineRule="auto"/>
              <w:rPr>
                <w:rFonts w:hint="eastAsia" w:ascii="宋体" w:hAnsi="宋体" w:eastAsia="宋体" w:cs="宋体"/>
                <w:sz w:val="28"/>
                <w:szCs w:val="28"/>
              </w:rPr>
            </w:pPr>
          </w:p>
          <w:p w14:paraId="69580091">
            <w:pPr>
              <w:spacing w:line="247" w:lineRule="auto"/>
              <w:rPr>
                <w:rFonts w:hint="eastAsia" w:ascii="宋体" w:hAnsi="宋体" w:eastAsia="宋体" w:cs="宋体"/>
                <w:sz w:val="28"/>
                <w:szCs w:val="28"/>
              </w:rPr>
            </w:pPr>
          </w:p>
          <w:p w14:paraId="011ED8E7">
            <w:pPr>
              <w:pStyle w:val="11"/>
              <w:spacing w:before="78" w:line="216" w:lineRule="auto"/>
              <w:ind w:left="298"/>
              <w:rPr>
                <w:rFonts w:hint="eastAsia" w:ascii="宋体" w:hAnsi="宋体" w:eastAsia="宋体" w:cs="宋体"/>
                <w:sz w:val="28"/>
                <w:szCs w:val="28"/>
                <w:lang w:eastAsia="zh-CN"/>
              </w:rPr>
            </w:pPr>
            <w:r>
              <w:rPr>
                <w:rFonts w:hint="eastAsia" w:ascii="宋体" w:hAnsi="宋体" w:eastAsia="宋体" w:cs="宋体"/>
                <w:spacing w:val="-7"/>
                <w:sz w:val="28"/>
                <w:szCs w:val="28"/>
                <w:lang w:eastAsia="zh-CN"/>
              </w:rPr>
              <w:t>干燥机</w:t>
            </w:r>
          </w:p>
        </w:tc>
        <w:tc>
          <w:tcPr>
            <w:tcW w:w="1988" w:type="dxa"/>
            <w:vAlign w:val="top"/>
          </w:tcPr>
          <w:p w14:paraId="7118E473">
            <w:pPr>
              <w:pStyle w:val="11"/>
              <w:spacing w:before="115" w:line="214" w:lineRule="auto"/>
              <w:ind w:left="412"/>
              <w:rPr>
                <w:rFonts w:hint="eastAsia" w:ascii="宋体" w:hAnsi="宋体" w:eastAsia="宋体" w:cs="宋体"/>
                <w:sz w:val="28"/>
                <w:szCs w:val="28"/>
              </w:rPr>
            </w:pPr>
            <w:r>
              <w:rPr>
                <w:rFonts w:hint="eastAsia" w:ascii="宋体" w:hAnsi="宋体" w:eastAsia="宋体" w:cs="宋体"/>
                <w:spacing w:val="-4"/>
                <w:sz w:val="28"/>
                <w:szCs w:val="28"/>
                <w:lang w:eastAsia="zh-CN"/>
              </w:rPr>
              <w:t>干燥机</w:t>
            </w:r>
            <w:r>
              <w:rPr>
                <w:rFonts w:hint="eastAsia" w:ascii="宋体" w:hAnsi="宋体" w:eastAsia="宋体" w:cs="宋体"/>
                <w:spacing w:val="-4"/>
                <w:sz w:val="28"/>
                <w:szCs w:val="28"/>
              </w:rPr>
              <w:t>型式</w:t>
            </w:r>
          </w:p>
        </w:tc>
        <w:tc>
          <w:tcPr>
            <w:tcW w:w="1874" w:type="dxa"/>
            <w:vAlign w:val="top"/>
          </w:tcPr>
          <w:p w14:paraId="0F8F5E4F">
            <w:pPr>
              <w:pStyle w:val="11"/>
              <w:spacing w:before="115" w:line="214" w:lineRule="auto"/>
              <w:ind w:left="177" w:firstLine="270" w:firstLineChars="100"/>
              <w:rPr>
                <w:rFonts w:hint="eastAsia" w:ascii="宋体" w:hAnsi="宋体" w:eastAsia="宋体" w:cs="宋体"/>
                <w:sz w:val="28"/>
                <w:szCs w:val="28"/>
              </w:rPr>
            </w:pPr>
            <w:r>
              <w:rPr>
                <w:rFonts w:hint="eastAsia" w:ascii="宋体" w:hAnsi="宋体" w:eastAsia="宋体" w:cs="宋体"/>
                <w:spacing w:val="-5"/>
                <w:sz w:val="28"/>
                <w:szCs w:val="28"/>
              </w:rPr>
              <w:t>双塔</w:t>
            </w:r>
          </w:p>
        </w:tc>
        <w:tc>
          <w:tcPr>
            <w:tcW w:w="3038" w:type="dxa"/>
            <w:tcBorders>
              <w:right w:val="single" w:color="000000" w:sz="6" w:space="0"/>
            </w:tcBorders>
            <w:vAlign w:val="top"/>
          </w:tcPr>
          <w:p w14:paraId="18AC9A22">
            <w:pPr>
              <w:spacing w:before="152" w:line="192" w:lineRule="auto"/>
              <w:ind w:left="1663"/>
              <w:rPr>
                <w:rFonts w:hint="eastAsia" w:ascii="宋体" w:hAnsi="宋体" w:eastAsia="宋体" w:cs="宋体"/>
                <w:sz w:val="28"/>
                <w:szCs w:val="28"/>
              </w:rPr>
            </w:pPr>
            <w:r>
              <w:rPr>
                <w:rFonts w:hint="eastAsia" w:ascii="宋体" w:hAnsi="宋体" w:eastAsia="宋体" w:cs="宋体"/>
                <w:sz w:val="28"/>
                <w:szCs w:val="28"/>
              </w:rPr>
              <w:t>/</w:t>
            </w:r>
          </w:p>
        </w:tc>
      </w:tr>
      <w:tr w14:paraId="6E2A0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81" w:type="dxa"/>
            <w:vMerge w:val="continue"/>
            <w:tcBorders>
              <w:top w:val="nil"/>
              <w:bottom w:val="nil"/>
            </w:tcBorders>
            <w:vAlign w:val="top"/>
          </w:tcPr>
          <w:p w14:paraId="78D7633C">
            <w:pPr>
              <w:rPr>
                <w:rFonts w:hint="eastAsia" w:ascii="宋体" w:hAnsi="宋体" w:eastAsia="宋体" w:cs="宋体"/>
                <w:sz w:val="28"/>
                <w:szCs w:val="28"/>
              </w:rPr>
            </w:pPr>
          </w:p>
        </w:tc>
        <w:tc>
          <w:tcPr>
            <w:tcW w:w="1988" w:type="dxa"/>
            <w:vAlign w:val="top"/>
          </w:tcPr>
          <w:p w14:paraId="21D89CFC">
            <w:pPr>
              <w:pStyle w:val="11"/>
              <w:spacing w:before="116" w:line="214" w:lineRule="auto"/>
              <w:ind w:left="531"/>
              <w:rPr>
                <w:rFonts w:hint="eastAsia" w:ascii="宋体" w:hAnsi="宋体" w:eastAsia="宋体" w:cs="宋体"/>
                <w:sz w:val="28"/>
                <w:szCs w:val="28"/>
              </w:rPr>
            </w:pPr>
            <w:r>
              <w:rPr>
                <w:rFonts w:hint="eastAsia" w:ascii="宋体" w:hAnsi="宋体" w:eastAsia="宋体" w:cs="宋体"/>
                <w:spacing w:val="-5"/>
                <w:sz w:val="28"/>
                <w:szCs w:val="28"/>
              </w:rPr>
              <w:t>处理气量</w:t>
            </w:r>
          </w:p>
        </w:tc>
        <w:tc>
          <w:tcPr>
            <w:tcW w:w="1874" w:type="dxa"/>
            <w:vAlign w:val="top"/>
          </w:tcPr>
          <w:p w14:paraId="57C90DF5">
            <w:pPr>
              <w:spacing w:before="134" w:line="209" w:lineRule="auto"/>
              <w:ind w:left="147"/>
              <w:rPr>
                <w:rFonts w:hint="eastAsia" w:ascii="宋体" w:hAnsi="宋体" w:eastAsia="宋体" w:cs="宋体"/>
                <w:sz w:val="28"/>
                <w:szCs w:val="28"/>
              </w:rPr>
            </w:pPr>
            <w:r>
              <w:rPr>
                <w:rFonts w:hint="eastAsia" w:ascii="宋体" w:hAnsi="宋体" w:eastAsia="宋体" w:cs="宋体"/>
                <w:spacing w:val="-1"/>
                <w:sz w:val="28"/>
                <w:szCs w:val="28"/>
                <w:lang w:val="en-US" w:eastAsia="zh-CN"/>
              </w:rPr>
              <w:t>≥28</w:t>
            </w:r>
            <w:r>
              <w:rPr>
                <w:rFonts w:hint="eastAsia" w:ascii="宋体" w:hAnsi="宋体" w:eastAsia="宋体" w:cs="宋体"/>
                <w:spacing w:val="-1"/>
                <w:sz w:val="28"/>
                <w:szCs w:val="28"/>
              </w:rPr>
              <w:t>0Nm</w:t>
            </w:r>
            <w:r>
              <w:rPr>
                <w:rFonts w:hint="eastAsia" w:ascii="宋体" w:hAnsi="宋体" w:eastAsia="宋体" w:cs="宋体"/>
                <w:spacing w:val="-1"/>
                <w:position w:val="7"/>
                <w:sz w:val="28"/>
                <w:szCs w:val="28"/>
              </w:rPr>
              <w:t>3</w:t>
            </w:r>
            <w:r>
              <w:rPr>
                <w:rFonts w:hint="eastAsia" w:ascii="宋体" w:hAnsi="宋体" w:eastAsia="宋体" w:cs="宋体"/>
                <w:spacing w:val="-1"/>
                <w:sz w:val="28"/>
                <w:szCs w:val="28"/>
              </w:rPr>
              <w:t>/min</w:t>
            </w:r>
          </w:p>
        </w:tc>
        <w:tc>
          <w:tcPr>
            <w:tcW w:w="3038" w:type="dxa"/>
            <w:tcBorders>
              <w:right w:val="single" w:color="000000" w:sz="6" w:space="0"/>
            </w:tcBorders>
            <w:vAlign w:val="top"/>
          </w:tcPr>
          <w:p w14:paraId="2F78A587">
            <w:pPr>
              <w:spacing w:before="153" w:line="192" w:lineRule="auto"/>
              <w:ind w:left="1663"/>
              <w:rPr>
                <w:rFonts w:hint="eastAsia" w:ascii="宋体" w:hAnsi="宋体" w:eastAsia="宋体" w:cs="宋体"/>
                <w:sz w:val="28"/>
                <w:szCs w:val="28"/>
              </w:rPr>
            </w:pPr>
            <w:r>
              <w:rPr>
                <w:rFonts w:hint="eastAsia" w:ascii="宋体" w:hAnsi="宋体" w:eastAsia="宋体" w:cs="宋体"/>
                <w:sz w:val="28"/>
                <w:szCs w:val="28"/>
              </w:rPr>
              <w:t>/</w:t>
            </w:r>
          </w:p>
        </w:tc>
      </w:tr>
      <w:tr w14:paraId="5C62C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81" w:type="dxa"/>
            <w:vMerge w:val="continue"/>
            <w:tcBorders>
              <w:top w:val="nil"/>
              <w:bottom w:val="nil"/>
            </w:tcBorders>
            <w:vAlign w:val="top"/>
          </w:tcPr>
          <w:p w14:paraId="2F6CEFEC">
            <w:pPr>
              <w:rPr>
                <w:rFonts w:hint="eastAsia" w:ascii="宋体" w:hAnsi="宋体" w:eastAsia="宋体" w:cs="宋体"/>
                <w:sz w:val="28"/>
                <w:szCs w:val="28"/>
              </w:rPr>
            </w:pPr>
          </w:p>
        </w:tc>
        <w:tc>
          <w:tcPr>
            <w:tcW w:w="1988" w:type="dxa"/>
            <w:vAlign w:val="top"/>
          </w:tcPr>
          <w:p w14:paraId="21869404">
            <w:pPr>
              <w:pStyle w:val="11"/>
              <w:spacing w:before="118" w:line="213" w:lineRule="auto"/>
              <w:ind w:left="407"/>
              <w:rPr>
                <w:rFonts w:hint="eastAsia" w:ascii="宋体" w:hAnsi="宋体" w:eastAsia="宋体" w:cs="宋体"/>
                <w:sz w:val="28"/>
                <w:szCs w:val="28"/>
              </w:rPr>
            </w:pPr>
            <w:r>
              <w:rPr>
                <w:rFonts w:hint="eastAsia" w:ascii="宋体" w:hAnsi="宋体" w:eastAsia="宋体" w:cs="宋体"/>
                <w:spacing w:val="-4"/>
                <w:sz w:val="28"/>
                <w:szCs w:val="28"/>
              </w:rPr>
              <w:t>再生耗气量</w:t>
            </w:r>
          </w:p>
        </w:tc>
        <w:tc>
          <w:tcPr>
            <w:tcW w:w="1874" w:type="dxa"/>
            <w:vAlign w:val="top"/>
          </w:tcPr>
          <w:p w14:paraId="5BF05570">
            <w:pPr>
              <w:spacing w:before="158" w:line="188" w:lineRule="auto"/>
              <w:ind w:left="604"/>
              <w:rPr>
                <w:rFonts w:hint="eastAsia" w:ascii="宋体" w:hAnsi="宋体" w:eastAsia="宋体" w:cs="宋体"/>
                <w:sz w:val="28"/>
                <w:szCs w:val="28"/>
              </w:rPr>
            </w:pPr>
            <w:r>
              <w:rPr>
                <w:rFonts w:hint="eastAsia" w:ascii="宋体" w:hAnsi="宋体" w:eastAsia="宋体" w:cs="宋体"/>
                <w:spacing w:val="-5"/>
                <w:sz w:val="28"/>
                <w:szCs w:val="28"/>
              </w:rPr>
              <w:t>0%</w:t>
            </w:r>
          </w:p>
        </w:tc>
        <w:tc>
          <w:tcPr>
            <w:tcW w:w="3038" w:type="dxa"/>
            <w:tcBorders>
              <w:right w:val="single" w:color="000000" w:sz="6" w:space="0"/>
            </w:tcBorders>
            <w:vAlign w:val="top"/>
          </w:tcPr>
          <w:p w14:paraId="2D4373ED">
            <w:pPr>
              <w:spacing w:before="153" w:line="192" w:lineRule="auto"/>
              <w:ind w:left="1663"/>
              <w:rPr>
                <w:rFonts w:hint="eastAsia" w:ascii="宋体" w:hAnsi="宋体" w:eastAsia="宋体" w:cs="宋体"/>
                <w:sz w:val="28"/>
                <w:szCs w:val="28"/>
              </w:rPr>
            </w:pPr>
            <w:r>
              <w:rPr>
                <w:rFonts w:hint="eastAsia" w:ascii="宋体" w:hAnsi="宋体" w:eastAsia="宋体" w:cs="宋体"/>
                <w:sz w:val="28"/>
                <w:szCs w:val="28"/>
              </w:rPr>
              <w:t>/</w:t>
            </w:r>
          </w:p>
        </w:tc>
      </w:tr>
      <w:tr w14:paraId="4A262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81" w:type="dxa"/>
            <w:vMerge w:val="continue"/>
            <w:tcBorders>
              <w:top w:val="nil"/>
              <w:bottom w:val="nil"/>
            </w:tcBorders>
            <w:vAlign w:val="top"/>
          </w:tcPr>
          <w:p w14:paraId="288EA24B">
            <w:pPr>
              <w:rPr>
                <w:rFonts w:hint="eastAsia" w:ascii="宋体" w:hAnsi="宋体" w:eastAsia="宋体" w:cs="宋体"/>
                <w:sz w:val="28"/>
                <w:szCs w:val="28"/>
              </w:rPr>
            </w:pPr>
          </w:p>
        </w:tc>
        <w:tc>
          <w:tcPr>
            <w:tcW w:w="1988" w:type="dxa"/>
            <w:vAlign w:val="top"/>
          </w:tcPr>
          <w:p w14:paraId="1D8A2BD4">
            <w:pPr>
              <w:pStyle w:val="11"/>
              <w:spacing w:before="118" w:line="213" w:lineRule="auto"/>
              <w:ind w:left="527"/>
              <w:rPr>
                <w:rFonts w:hint="eastAsia" w:ascii="宋体" w:hAnsi="宋体" w:eastAsia="宋体" w:cs="宋体"/>
                <w:sz w:val="28"/>
                <w:szCs w:val="28"/>
              </w:rPr>
            </w:pPr>
            <w:r>
              <w:rPr>
                <w:rFonts w:hint="eastAsia" w:ascii="宋体" w:hAnsi="宋体" w:eastAsia="宋体" w:cs="宋体"/>
                <w:spacing w:val="-4"/>
                <w:sz w:val="28"/>
                <w:szCs w:val="28"/>
              </w:rPr>
              <w:t>再生方式</w:t>
            </w:r>
          </w:p>
        </w:tc>
        <w:tc>
          <w:tcPr>
            <w:tcW w:w="1874" w:type="dxa"/>
            <w:vAlign w:val="top"/>
          </w:tcPr>
          <w:p w14:paraId="0475CB71">
            <w:pPr>
              <w:pStyle w:val="11"/>
              <w:spacing w:before="118" w:line="213" w:lineRule="auto"/>
              <w:ind w:left="163"/>
              <w:rPr>
                <w:rFonts w:hint="eastAsia" w:ascii="宋体" w:hAnsi="宋体" w:eastAsia="宋体" w:cs="宋体"/>
                <w:sz w:val="28"/>
                <w:szCs w:val="28"/>
              </w:rPr>
            </w:pPr>
            <w:r>
              <w:rPr>
                <w:rFonts w:hint="eastAsia" w:ascii="宋体" w:hAnsi="宋体" w:eastAsia="宋体" w:cs="宋体"/>
                <w:spacing w:val="-2"/>
                <w:sz w:val="28"/>
                <w:szCs w:val="28"/>
              </w:rPr>
              <w:t>压缩热再生</w:t>
            </w:r>
          </w:p>
        </w:tc>
        <w:tc>
          <w:tcPr>
            <w:tcW w:w="3038" w:type="dxa"/>
            <w:tcBorders>
              <w:right w:val="single" w:color="000000" w:sz="6" w:space="0"/>
            </w:tcBorders>
            <w:vAlign w:val="top"/>
          </w:tcPr>
          <w:p w14:paraId="54D51BEA">
            <w:pPr>
              <w:spacing w:before="151" w:line="192" w:lineRule="auto"/>
              <w:ind w:left="1663"/>
              <w:rPr>
                <w:rFonts w:hint="eastAsia" w:ascii="宋体" w:hAnsi="宋体" w:eastAsia="宋体" w:cs="宋体"/>
                <w:sz w:val="28"/>
                <w:szCs w:val="28"/>
              </w:rPr>
            </w:pPr>
            <w:r>
              <w:rPr>
                <w:rFonts w:hint="eastAsia" w:ascii="宋体" w:hAnsi="宋体" w:eastAsia="宋体" w:cs="宋体"/>
                <w:sz w:val="28"/>
                <w:szCs w:val="28"/>
              </w:rPr>
              <w:t>/</w:t>
            </w:r>
          </w:p>
        </w:tc>
      </w:tr>
      <w:tr w14:paraId="7B672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81" w:type="dxa"/>
            <w:vMerge w:val="continue"/>
            <w:tcBorders>
              <w:top w:val="nil"/>
              <w:bottom w:val="nil"/>
            </w:tcBorders>
            <w:vAlign w:val="top"/>
          </w:tcPr>
          <w:p w14:paraId="50F8E755">
            <w:pPr>
              <w:rPr>
                <w:rFonts w:hint="eastAsia" w:ascii="宋体" w:hAnsi="宋体" w:eastAsia="宋体" w:cs="宋体"/>
                <w:sz w:val="28"/>
                <w:szCs w:val="28"/>
              </w:rPr>
            </w:pPr>
          </w:p>
        </w:tc>
        <w:tc>
          <w:tcPr>
            <w:tcW w:w="1988" w:type="dxa"/>
            <w:vAlign w:val="top"/>
          </w:tcPr>
          <w:p w14:paraId="272E6B6D">
            <w:pPr>
              <w:pStyle w:val="11"/>
              <w:spacing w:before="317" w:line="219" w:lineRule="auto"/>
              <w:ind w:left="519"/>
              <w:rPr>
                <w:rFonts w:hint="eastAsia" w:ascii="宋体" w:hAnsi="宋体" w:eastAsia="宋体" w:cs="宋体"/>
                <w:sz w:val="28"/>
                <w:szCs w:val="28"/>
              </w:rPr>
            </w:pPr>
            <w:r>
              <w:rPr>
                <w:rFonts w:hint="eastAsia" w:ascii="宋体" w:hAnsi="宋体" w:eastAsia="宋体" w:cs="宋体"/>
                <w:spacing w:val="-2"/>
                <w:sz w:val="28"/>
                <w:szCs w:val="28"/>
              </w:rPr>
              <w:t>压力露点</w:t>
            </w:r>
          </w:p>
        </w:tc>
        <w:tc>
          <w:tcPr>
            <w:tcW w:w="1874" w:type="dxa"/>
            <w:vAlign w:val="top"/>
          </w:tcPr>
          <w:p w14:paraId="14C5D3CA">
            <w:pPr>
              <w:pStyle w:val="11"/>
              <w:spacing w:before="318" w:line="235" w:lineRule="auto"/>
              <w:ind w:left="416"/>
              <w:rPr>
                <w:rFonts w:hint="eastAsia" w:ascii="宋体" w:hAnsi="宋体" w:eastAsia="宋体" w:cs="宋体"/>
                <w:sz w:val="28"/>
                <w:szCs w:val="28"/>
              </w:rPr>
            </w:pPr>
            <w:r>
              <w:rPr>
                <w:rFonts w:hint="eastAsia" w:ascii="宋体" w:hAnsi="宋体" w:eastAsia="宋体" w:cs="宋体"/>
                <w:spacing w:val="-13"/>
                <w:sz w:val="28"/>
                <w:szCs w:val="28"/>
              </w:rPr>
              <w:t>≤</w:t>
            </w:r>
            <w:r>
              <w:rPr>
                <w:rFonts w:hint="eastAsia" w:ascii="宋体" w:hAnsi="宋体" w:eastAsia="宋体" w:cs="宋体"/>
                <w:spacing w:val="-13"/>
                <w:sz w:val="28"/>
                <w:szCs w:val="28"/>
              </w:rPr>
              <w:t>-40</w:t>
            </w:r>
            <w:r>
              <w:rPr>
                <w:rFonts w:hint="eastAsia" w:ascii="宋体" w:hAnsi="宋体" w:eastAsia="宋体" w:cs="宋体"/>
                <w:spacing w:val="-13"/>
                <w:sz w:val="28"/>
                <w:szCs w:val="28"/>
              </w:rPr>
              <w:t>℃</w:t>
            </w:r>
          </w:p>
        </w:tc>
        <w:tc>
          <w:tcPr>
            <w:tcW w:w="3038" w:type="dxa"/>
            <w:tcBorders>
              <w:right w:val="single" w:color="000000" w:sz="6" w:space="0"/>
            </w:tcBorders>
            <w:vAlign w:val="top"/>
          </w:tcPr>
          <w:p w14:paraId="476DDA4B">
            <w:pPr>
              <w:pStyle w:val="11"/>
              <w:spacing w:before="118" w:line="260" w:lineRule="auto"/>
              <w:ind w:left="646" w:right="132" w:hanging="493"/>
              <w:rPr>
                <w:rFonts w:hint="eastAsia" w:ascii="宋体" w:hAnsi="宋体" w:eastAsia="宋体" w:cs="宋体"/>
                <w:sz w:val="28"/>
                <w:szCs w:val="28"/>
              </w:rPr>
            </w:pPr>
            <w:r>
              <w:rPr>
                <w:rFonts w:hint="eastAsia" w:ascii="宋体" w:hAnsi="宋体" w:eastAsia="宋体" w:cs="宋体"/>
                <w:spacing w:val="-2"/>
                <w:sz w:val="28"/>
                <w:szCs w:val="28"/>
              </w:rPr>
              <w:t>具备露点可调功能，可设定露</w:t>
            </w:r>
            <w:r>
              <w:rPr>
                <w:rFonts w:hint="eastAsia" w:ascii="宋体" w:hAnsi="宋体" w:eastAsia="宋体" w:cs="宋体"/>
                <w:spacing w:val="8"/>
                <w:sz w:val="28"/>
                <w:szCs w:val="28"/>
              </w:rPr>
              <w:t xml:space="preserve"> </w:t>
            </w:r>
            <w:r>
              <w:rPr>
                <w:rFonts w:hint="eastAsia" w:ascii="宋体" w:hAnsi="宋体" w:eastAsia="宋体" w:cs="宋体"/>
                <w:spacing w:val="-10"/>
                <w:sz w:val="28"/>
                <w:szCs w:val="28"/>
              </w:rPr>
              <w:t>点温度，</w:t>
            </w:r>
            <w:r>
              <w:rPr>
                <w:rFonts w:hint="eastAsia" w:ascii="宋体" w:hAnsi="宋体" w:eastAsia="宋体" w:cs="宋体"/>
                <w:spacing w:val="-61"/>
                <w:sz w:val="28"/>
                <w:szCs w:val="28"/>
              </w:rPr>
              <w:t xml:space="preserve"> </w:t>
            </w:r>
            <w:r>
              <w:rPr>
                <w:rFonts w:hint="eastAsia" w:ascii="宋体" w:hAnsi="宋体" w:eastAsia="宋体" w:cs="宋体"/>
                <w:spacing w:val="-10"/>
                <w:sz w:val="28"/>
                <w:szCs w:val="28"/>
              </w:rPr>
              <w:t>自行调节。</w:t>
            </w:r>
          </w:p>
        </w:tc>
      </w:tr>
      <w:tr w14:paraId="61C81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81" w:type="dxa"/>
            <w:vMerge w:val="continue"/>
            <w:tcBorders>
              <w:top w:val="nil"/>
              <w:bottom w:val="nil"/>
            </w:tcBorders>
            <w:vAlign w:val="top"/>
          </w:tcPr>
          <w:p w14:paraId="73721462">
            <w:pPr>
              <w:rPr>
                <w:rFonts w:hint="eastAsia" w:ascii="宋体" w:hAnsi="宋体" w:eastAsia="宋体" w:cs="宋体"/>
                <w:sz w:val="28"/>
                <w:szCs w:val="28"/>
              </w:rPr>
            </w:pPr>
          </w:p>
        </w:tc>
        <w:tc>
          <w:tcPr>
            <w:tcW w:w="1988" w:type="dxa"/>
            <w:vAlign w:val="top"/>
          </w:tcPr>
          <w:p w14:paraId="060F327A">
            <w:pPr>
              <w:pStyle w:val="11"/>
              <w:spacing w:before="317" w:line="215" w:lineRule="auto"/>
              <w:ind w:left="527"/>
              <w:rPr>
                <w:rFonts w:hint="eastAsia" w:ascii="宋体" w:hAnsi="宋体" w:eastAsia="宋体" w:cs="宋体"/>
                <w:sz w:val="28"/>
                <w:szCs w:val="28"/>
              </w:rPr>
            </w:pPr>
            <w:r>
              <w:rPr>
                <w:rFonts w:hint="eastAsia" w:ascii="宋体" w:hAnsi="宋体" w:eastAsia="宋体" w:cs="宋体"/>
                <w:spacing w:val="-4"/>
                <w:sz w:val="28"/>
                <w:szCs w:val="28"/>
              </w:rPr>
              <w:t>工作周期</w:t>
            </w:r>
          </w:p>
        </w:tc>
        <w:tc>
          <w:tcPr>
            <w:tcW w:w="1874" w:type="dxa"/>
            <w:vAlign w:val="top"/>
          </w:tcPr>
          <w:p w14:paraId="161E70D7">
            <w:pPr>
              <w:pStyle w:val="11"/>
              <w:spacing w:before="118" w:line="260" w:lineRule="auto"/>
              <w:ind w:left="505" w:right="150" w:hanging="337"/>
              <w:rPr>
                <w:rFonts w:hint="eastAsia" w:ascii="宋体" w:hAnsi="宋体" w:eastAsia="宋体" w:cs="宋体"/>
                <w:sz w:val="28"/>
                <w:szCs w:val="28"/>
              </w:rPr>
            </w:pPr>
            <w:r>
              <w:rPr>
                <w:rFonts w:hint="eastAsia" w:ascii="宋体" w:hAnsi="宋体" w:eastAsia="宋体" w:cs="宋体"/>
                <w:spacing w:val="-3"/>
                <w:sz w:val="28"/>
                <w:szCs w:val="28"/>
              </w:rPr>
              <w:t>半周期不低</w:t>
            </w:r>
            <w:r>
              <w:rPr>
                <w:rFonts w:hint="eastAsia" w:ascii="宋体" w:hAnsi="宋体" w:eastAsia="宋体" w:cs="宋体"/>
                <w:spacing w:val="-9"/>
                <w:sz w:val="28"/>
                <w:szCs w:val="28"/>
              </w:rPr>
              <w:t>于</w:t>
            </w:r>
            <w:r>
              <w:rPr>
                <w:rFonts w:hint="eastAsia" w:ascii="宋体" w:hAnsi="宋体" w:eastAsia="宋体" w:cs="宋体"/>
                <w:spacing w:val="-55"/>
                <w:sz w:val="28"/>
                <w:szCs w:val="28"/>
              </w:rPr>
              <w:t xml:space="preserve"> </w:t>
            </w:r>
            <w:r>
              <w:rPr>
                <w:rFonts w:hint="eastAsia" w:ascii="宋体" w:hAnsi="宋体" w:eastAsia="宋体" w:cs="宋体"/>
                <w:spacing w:val="-9"/>
                <w:sz w:val="28"/>
                <w:szCs w:val="28"/>
              </w:rPr>
              <w:t>4h</w:t>
            </w:r>
          </w:p>
        </w:tc>
        <w:tc>
          <w:tcPr>
            <w:tcW w:w="3038" w:type="dxa"/>
            <w:tcBorders>
              <w:right w:val="single" w:color="000000" w:sz="6" w:space="0"/>
            </w:tcBorders>
            <w:vAlign w:val="top"/>
          </w:tcPr>
          <w:p w14:paraId="629D34DB">
            <w:pPr>
              <w:spacing w:line="283" w:lineRule="auto"/>
              <w:rPr>
                <w:rFonts w:hint="eastAsia" w:ascii="宋体" w:hAnsi="宋体" w:eastAsia="宋体" w:cs="宋体"/>
                <w:sz w:val="28"/>
                <w:szCs w:val="28"/>
              </w:rPr>
            </w:pPr>
          </w:p>
          <w:p w14:paraId="692625EA">
            <w:pPr>
              <w:spacing w:before="69" w:line="192" w:lineRule="auto"/>
              <w:ind w:left="1663"/>
              <w:rPr>
                <w:rFonts w:hint="eastAsia" w:ascii="宋体" w:hAnsi="宋体" w:eastAsia="宋体" w:cs="宋体"/>
                <w:sz w:val="28"/>
                <w:szCs w:val="28"/>
              </w:rPr>
            </w:pPr>
            <w:r>
              <w:rPr>
                <w:rFonts w:hint="eastAsia" w:ascii="宋体" w:hAnsi="宋体" w:eastAsia="宋体" w:cs="宋体"/>
                <w:sz w:val="28"/>
                <w:szCs w:val="28"/>
              </w:rPr>
              <w:t>/</w:t>
            </w:r>
          </w:p>
        </w:tc>
      </w:tr>
      <w:tr w14:paraId="16031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81" w:type="dxa"/>
            <w:vMerge w:val="continue"/>
            <w:tcBorders>
              <w:top w:val="nil"/>
              <w:bottom w:val="nil"/>
            </w:tcBorders>
            <w:vAlign w:val="top"/>
          </w:tcPr>
          <w:p w14:paraId="7B51FE09">
            <w:pPr>
              <w:rPr>
                <w:rFonts w:hint="eastAsia" w:ascii="宋体" w:hAnsi="宋体" w:eastAsia="宋体" w:cs="宋体"/>
                <w:sz w:val="28"/>
                <w:szCs w:val="28"/>
              </w:rPr>
            </w:pPr>
          </w:p>
        </w:tc>
        <w:tc>
          <w:tcPr>
            <w:tcW w:w="1988" w:type="dxa"/>
            <w:vAlign w:val="top"/>
          </w:tcPr>
          <w:p w14:paraId="715F9BC5">
            <w:pPr>
              <w:pStyle w:val="11"/>
              <w:spacing w:before="118" w:line="260" w:lineRule="auto"/>
              <w:ind w:left="413" w:right="150" w:hanging="241"/>
              <w:rPr>
                <w:rFonts w:hint="eastAsia" w:ascii="宋体" w:hAnsi="宋体" w:eastAsia="宋体" w:cs="宋体"/>
                <w:sz w:val="28"/>
                <w:szCs w:val="28"/>
              </w:rPr>
            </w:pPr>
            <w:r>
              <w:rPr>
                <w:rFonts w:hint="eastAsia" w:ascii="宋体" w:hAnsi="宋体" w:eastAsia="宋体" w:cs="宋体"/>
                <w:spacing w:val="-3"/>
                <w:sz w:val="28"/>
                <w:szCs w:val="28"/>
              </w:rPr>
              <w:t>满负荷下压力损</w:t>
            </w:r>
            <w:r>
              <w:rPr>
                <w:rFonts w:hint="eastAsia" w:ascii="宋体" w:hAnsi="宋体" w:eastAsia="宋体" w:cs="宋体"/>
                <w:sz w:val="28"/>
                <w:szCs w:val="28"/>
              </w:rPr>
              <w:t xml:space="preserve"> </w:t>
            </w:r>
            <w:r>
              <w:rPr>
                <w:rFonts w:hint="eastAsia" w:ascii="宋体" w:hAnsi="宋体" w:eastAsia="宋体" w:cs="宋体"/>
                <w:spacing w:val="-5"/>
                <w:sz w:val="28"/>
                <w:szCs w:val="28"/>
              </w:rPr>
              <w:t>失压缩损失</w:t>
            </w:r>
          </w:p>
        </w:tc>
        <w:tc>
          <w:tcPr>
            <w:tcW w:w="1874" w:type="dxa"/>
            <w:vAlign w:val="top"/>
          </w:tcPr>
          <w:p w14:paraId="56EC8317">
            <w:pPr>
              <w:rPr>
                <w:rFonts w:hint="eastAsia" w:ascii="宋体" w:hAnsi="宋体" w:eastAsia="宋体" w:cs="宋体"/>
                <w:sz w:val="28"/>
                <w:szCs w:val="28"/>
              </w:rPr>
            </w:pPr>
          </w:p>
          <w:p w14:paraId="293EA7F7">
            <w:pPr>
              <w:pStyle w:val="11"/>
              <w:spacing w:before="78" w:line="235" w:lineRule="auto"/>
              <w:ind w:left="332"/>
              <w:rPr>
                <w:rFonts w:hint="eastAsia" w:ascii="宋体" w:hAnsi="宋体" w:eastAsia="宋体" w:cs="宋体"/>
                <w:sz w:val="28"/>
                <w:szCs w:val="28"/>
              </w:rPr>
            </w:pPr>
            <w:r>
              <w:rPr>
                <w:rFonts w:hint="eastAsia" w:ascii="宋体" w:hAnsi="宋体" w:eastAsia="宋体" w:cs="宋体"/>
                <w:spacing w:val="-8"/>
                <w:sz w:val="28"/>
                <w:szCs w:val="28"/>
              </w:rPr>
              <w:t>≤</w:t>
            </w:r>
            <w:r>
              <w:rPr>
                <w:rFonts w:hint="eastAsia" w:ascii="宋体" w:hAnsi="宋体" w:eastAsia="宋体" w:cs="宋体"/>
                <w:spacing w:val="-8"/>
                <w:sz w:val="28"/>
                <w:szCs w:val="28"/>
              </w:rPr>
              <w:t>0.40bar</w:t>
            </w:r>
          </w:p>
        </w:tc>
        <w:tc>
          <w:tcPr>
            <w:tcW w:w="3038" w:type="dxa"/>
            <w:tcBorders>
              <w:right w:val="single" w:color="000000" w:sz="6" w:space="0"/>
            </w:tcBorders>
            <w:vAlign w:val="top"/>
          </w:tcPr>
          <w:p w14:paraId="18636220">
            <w:pPr>
              <w:rPr>
                <w:rFonts w:hint="eastAsia" w:ascii="宋体" w:hAnsi="宋体" w:eastAsia="宋体" w:cs="宋体"/>
                <w:sz w:val="28"/>
                <w:szCs w:val="28"/>
              </w:rPr>
            </w:pPr>
          </w:p>
          <w:p w14:paraId="48A1C2D2">
            <w:pPr>
              <w:pStyle w:val="11"/>
              <w:spacing w:before="78" w:line="216" w:lineRule="auto"/>
              <w:ind w:left="1236"/>
              <w:rPr>
                <w:rFonts w:hint="eastAsia" w:ascii="宋体" w:hAnsi="宋体" w:eastAsia="宋体" w:cs="宋体"/>
                <w:sz w:val="28"/>
                <w:szCs w:val="28"/>
              </w:rPr>
            </w:pPr>
            <w:r>
              <w:rPr>
                <w:rFonts w:hint="eastAsia" w:ascii="宋体" w:hAnsi="宋体" w:eastAsia="宋体" w:cs="宋体"/>
                <w:spacing w:val="-5"/>
                <w:sz w:val="28"/>
                <w:szCs w:val="28"/>
              </w:rPr>
              <w:t>满负荷时</w:t>
            </w:r>
          </w:p>
        </w:tc>
      </w:tr>
      <w:tr w14:paraId="64162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281" w:type="dxa"/>
            <w:vMerge w:val="continue"/>
            <w:tcBorders>
              <w:top w:val="nil"/>
            </w:tcBorders>
            <w:vAlign w:val="top"/>
          </w:tcPr>
          <w:p w14:paraId="43F4666E">
            <w:pPr>
              <w:rPr>
                <w:rFonts w:hint="eastAsia" w:ascii="宋体" w:hAnsi="宋体" w:eastAsia="宋体" w:cs="宋体"/>
                <w:sz w:val="28"/>
                <w:szCs w:val="28"/>
              </w:rPr>
            </w:pPr>
          </w:p>
        </w:tc>
        <w:tc>
          <w:tcPr>
            <w:tcW w:w="1988" w:type="dxa"/>
            <w:vAlign w:val="top"/>
          </w:tcPr>
          <w:p w14:paraId="1DE52B10">
            <w:pPr>
              <w:pStyle w:val="11"/>
              <w:spacing w:before="120" w:line="261" w:lineRule="auto"/>
              <w:ind w:left="517" w:right="510" w:firstLine="5"/>
              <w:rPr>
                <w:rFonts w:hint="eastAsia" w:ascii="宋体" w:hAnsi="宋体" w:eastAsia="宋体" w:cs="宋体"/>
                <w:sz w:val="28"/>
                <w:szCs w:val="28"/>
              </w:rPr>
            </w:pPr>
            <w:r>
              <w:rPr>
                <w:rFonts w:hint="eastAsia" w:ascii="宋体" w:hAnsi="宋体" w:eastAsia="宋体" w:cs="宋体"/>
                <w:spacing w:val="-3"/>
                <w:sz w:val="28"/>
                <w:szCs w:val="28"/>
              </w:rPr>
              <w:t>入口空气</w:t>
            </w:r>
            <w:r>
              <w:rPr>
                <w:rFonts w:hint="eastAsia" w:ascii="宋体" w:hAnsi="宋体" w:eastAsia="宋体" w:cs="宋体"/>
                <w:sz w:val="28"/>
                <w:szCs w:val="28"/>
              </w:rPr>
              <w:t xml:space="preserve"> </w:t>
            </w:r>
            <w:r>
              <w:rPr>
                <w:rFonts w:hint="eastAsia" w:ascii="宋体" w:hAnsi="宋体" w:eastAsia="宋体" w:cs="宋体"/>
                <w:spacing w:val="-2"/>
                <w:sz w:val="28"/>
                <w:szCs w:val="28"/>
              </w:rPr>
              <w:t>含油要求</w:t>
            </w:r>
          </w:p>
        </w:tc>
        <w:tc>
          <w:tcPr>
            <w:tcW w:w="1874" w:type="dxa"/>
            <w:vAlign w:val="top"/>
          </w:tcPr>
          <w:p w14:paraId="2FEAC3C2">
            <w:pPr>
              <w:pStyle w:val="11"/>
              <w:spacing w:before="120" w:line="220" w:lineRule="auto"/>
              <w:ind w:left="533"/>
              <w:rPr>
                <w:rFonts w:hint="eastAsia" w:ascii="宋体" w:hAnsi="宋体" w:eastAsia="宋体" w:cs="宋体"/>
                <w:sz w:val="28"/>
                <w:szCs w:val="28"/>
              </w:rPr>
            </w:pPr>
            <w:r>
              <w:rPr>
                <w:rFonts w:hint="eastAsia" w:ascii="宋体" w:hAnsi="宋体" w:eastAsia="宋体" w:cs="宋体"/>
                <w:spacing w:val="-9"/>
                <w:sz w:val="28"/>
                <w:szCs w:val="28"/>
              </w:rPr>
              <w:t>无油</w:t>
            </w:r>
          </w:p>
          <w:p w14:paraId="1E9084C5">
            <w:pPr>
              <w:pStyle w:val="11"/>
              <w:spacing w:before="115" w:line="213" w:lineRule="auto"/>
              <w:ind w:left="283"/>
              <w:rPr>
                <w:rFonts w:hint="eastAsia" w:ascii="宋体" w:hAnsi="宋体" w:eastAsia="宋体" w:cs="宋体"/>
                <w:sz w:val="28"/>
                <w:szCs w:val="28"/>
              </w:rPr>
            </w:pPr>
            <w:r>
              <w:rPr>
                <w:rFonts w:hint="eastAsia" w:ascii="宋体" w:hAnsi="宋体" w:eastAsia="宋体" w:cs="宋体"/>
                <w:spacing w:val="-2"/>
                <w:sz w:val="28"/>
                <w:szCs w:val="28"/>
              </w:rPr>
              <w:t>压缩空气</w:t>
            </w:r>
          </w:p>
        </w:tc>
        <w:tc>
          <w:tcPr>
            <w:tcW w:w="3038" w:type="dxa"/>
            <w:tcBorders>
              <w:right w:val="single" w:color="000000" w:sz="6" w:space="0"/>
            </w:tcBorders>
            <w:vAlign w:val="top"/>
          </w:tcPr>
          <w:p w14:paraId="2050A5C1">
            <w:pPr>
              <w:rPr>
                <w:rFonts w:hint="eastAsia" w:ascii="宋体" w:hAnsi="宋体" w:eastAsia="宋体" w:cs="宋体"/>
                <w:sz w:val="28"/>
                <w:szCs w:val="28"/>
              </w:rPr>
            </w:pPr>
          </w:p>
        </w:tc>
      </w:tr>
    </w:tbl>
    <w:p w14:paraId="1358210E">
      <w:pPr>
        <w:spacing w:before="171" w:line="222" w:lineRule="auto"/>
        <w:ind w:left="606"/>
        <w:rPr>
          <w:rFonts w:hint="eastAsia" w:ascii="宋体" w:hAnsi="宋体" w:eastAsia="宋体" w:cs="宋体"/>
          <w:sz w:val="28"/>
          <w:szCs w:val="28"/>
        </w:rPr>
      </w:pPr>
    </w:p>
    <w:p w14:paraId="78806EA2">
      <w:pPr>
        <w:spacing w:line="115" w:lineRule="exact"/>
        <w:rPr>
          <w:rFonts w:hint="eastAsia" w:ascii="宋体" w:hAnsi="宋体" w:eastAsia="宋体" w:cs="宋体"/>
          <w:sz w:val="28"/>
          <w:szCs w:val="28"/>
        </w:rPr>
      </w:pPr>
    </w:p>
    <w:p w14:paraId="347B2D70">
      <w:pPr>
        <w:spacing w:before="49" w:line="228" w:lineRule="auto"/>
        <w:ind w:left="669"/>
        <w:outlineLvl w:val="1"/>
        <w:rPr>
          <w:rFonts w:hint="eastAsia" w:ascii="宋体" w:hAnsi="宋体" w:eastAsia="宋体" w:cs="宋体"/>
          <w:sz w:val="28"/>
          <w:szCs w:val="28"/>
        </w:rPr>
      </w:pPr>
      <w:bookmarkStart w:id="26" w:name="bookmark22"/>
      <w:bookmarkEnd w:id="26"/>
      <w:bookmarkStart w:id="27" w:name="bookmark21"/>
      <w:bookmarkEnd w:id="27"/>
      <w:bookmarkStart w:id="28" w:name="_Toc5550"/>
      <w:r>
        <w:rPr>
          <w:rFonts w:hint="eastAsia" w:ascii="宋体" w:hAnsi="宋体" w:eastAsia="宋体" w:cs="宋体"/>
          <w:b/>
          <w:bCs/>
          <w:spacing w:val="-4"/>
          <w:sz w:val="28"/>
          <w:szCs w:val="28"/>
        </w:rPr>
        <w:t>2.4</w:t>
      </w:r>
      <w:r>
        <w:rPr>
          <w:rFonts w:hint="eastAsia" w:ascii="宋体" w:hAnsi="宋体" w:eastAsia="宋体" w:cs="宋体"/>
          <w:spacing w:val="-4"/>
          <w:sz w:val="28"/>
          <w:szCs w:val="28"/>
        </w:rPr>
        <w:t xml:space="preserve"> </w:t>
      </w:r>
      <w:r>
        <w:rPr>
          <w:rFonts w:hint="eastAsia" w:ascii="宋体" w:hAnsi="宋体" w:eastAsia="宋体" w:cs="宋体"/>
          <w:b/>
          <w:bCs/>
          <w:spacing w:val="-4"/>
          <w:sz w:val="28"/>
          <w:szCs w:val="28"/>
        </w:rPr>
        <w:t>自洁式过滤器</w:t>
      </w:r>
      <w:bookmarkEnd w:id="28"/>
    </w:p>
    <w:p w14:paraId="4F6D4D35">
      <w:pPr>
        <w:spacing w:line="241" w:lineRule="auto"/>
        <w:rPr>
          <w:rFonts w:hint="eastAsia" w:ascii="宋体" w:hAnsi="宋体" w:eastAsia="宋体" w:cs="宋体"/>
          <w:sz w:val="28"/>
          <w:szCs w:val="28"/>
        </w:rPr>
      </w:pPr>
    </w:p>
    <w:p w14:paraId="131A3DE5">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项目使用的自洁式过滤器应具备良好的过滤精度，具备良好的自适应功能。基本参数如下：</w:t>
      </w:r>
    </w:p>
    <w:p w14:paraId="3046385B">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型式： 自洁式</w:t>
      </w:r>
    </w:p>
    <w:p w14:paraId="199B89EF">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过滤精度：≥2 μm  过滤效率：99.8%</w:t>
      </w:r>
    </w:p>
    <w:p w14:paraId="59A0DA9E">
      <w:pPr>
        <w:spacing w:before="54" w:line="363" w:lineRule="auto"/>
        <w:ind w:left="41" w:leftChars="0" w:right="90" w:firstLine="2069" w:firstLineChars="699"/>
        <w:jc w:val="both"/>
        <w:rPr>
          <w:rFonts w:hint="eastAsia" w:ascii="宋体" w:hAnsi="宋体" w:eastAsia="宋体" w:cs="宋体"/>
          <w:spacing w:val="8"/>
          <w:sz w:val="28"/>
          <w:szCs w:val="28"/>
        </w:rPr>
      </w:pPr>
      <w:r>
        <w:rPr>
          <w:rFonts w:hint="eastAsia" w:ascii="宋体" w:hAnsi="宋体" w:eastAsia="宋体" w:cs="宋体"/>
          <w:spacing w:val="8"/>
          <w:sz w:val="28"/>
          <w:szCs w:val="28"/>
        </w:rPr>
        <w:t>≥1 μm  过滤效率：99.6%</w:t>
      </w:r>
    </w:p>
    <w:p w14:paraId="386FEC0E">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初阻力： ≤150pa</w:t>
      </w:r>
    </w:p>
    <w:p w14:paraId="17DA95C8">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正常运行：200pa-600pa</w:t>
      </w:r>
    </w:p>
    <w:p w14:paraId="1ACC29F6">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报警阻力：1000pa（可调、可设定）</w:t>
      </w:r>
    </w:p>
    <w:p w14:paraId="3EE74B11">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终阻力：1200pa（可调、可设定）</w:t>
      </w:r>
    </w:p>
    <w:p w14:paraId="17E1577B">
      <w:pPr>
        <w:spacing w:before="147" w:line="229" w:lineRule="auto"/>
        <w:ind w:left="669"/>
        <w:outlineLvl w:val="1"/>
        <w:rPr>
          <w:rFonts w:hint="eastAsia" w:ascii="宋体" w:hAnsi="宋体" w:eastAsia="宋体" w:cs="宋体"/>
          <w:sz w:val="28"/>
          <w:szCs w:val="28"/>
        </w:rPr>
      </w:pPr>
      <w:bookmarkStart w:id="29" w:name="bookmark24"/>
      <w:bookmarkEnd w:id="29"/>
      <w:bookmarkStart w:id="30" w:name="bookmark23"/>
      <w:bookmarkEnd w:id="30"/>
      <w:bookmarkStart w:id="31" w:name="_Toc16464"/>
      <w:r>
        <w:rPr>
          <w:rFonts w:hint="eastAsia" w:ascii="宋体" w:hAnsi="宋体" w:eastAsia="宋体" w:cs="宋体"/>
          <w:b/>
          <w:bCs/>
          <w:spacing w:val="-5"/>
          <w:sz w:val="28"/>
          <w:szCs w:val="28"/>
        </w:rPr>
        <w:t>2.5</w:t>
      </w:r>
      <w:r>
        <w:rPr>
          <w:rFonts w:hint="eastAsia" w:ascii="宋体" w:hAnsi="宋体" w:eastAsia="宋体" w:cs="宋体"/>
          <w:spacing w:val="63"/>
          <w:sz w:val="28"/>
          <w:szCs w:val="28"/>
        </w:rPr>
        <w:t xml:space="preserve"> </w:t>
      </w:r>
      <w:r>
        <w:rPr>
          <w:rFonts w:hint="eastAsia" w:ascii="宋体" w:hAnsi="宋体" w:eastAsia="宋体" w:cs="宋体"/>
          <w:b/>
          <w:bCs/>
          <w:spacing w:val="-5"/>
          <w:sz w:val="28"/>
          <w:szCs w:val="28"/>
        </w:rPr>
        <w:t>电气</w:t>
      </w:r>
      <w:r>
        <w:rPr>
          <w:rFonts w:hint="eastAsia" w:ascii="宋体" w:hAnsi="宋体" w:eastAsia="宋体" w:cs="宋体"/>
          <w:b/>
          <w:bCs/>
          <w:spacing w:val="-5"/>
          <w:sz w:val="28"/>
          <w:szCs w:val="28"/>
          <w:lang w:eastAsia="zh-CN"/>
        </w:rPr>
        <w:t>及自动化</w:t>
      </w:r>
      <w:r>
        <w:rPr>
          <w:rFonts w:hint="eastAsia" w:ascii="宋体" w:hAnsi="宋体" w:eastAsia="宋体" w:cs="宋体"/>
          <w:b/>
          <w:bCs/>
          <w:spacing w:val="-5"/>
          <w:sz w:val="28"/>
          <w:szCs w:val="28"/>
        </w:rPr>
        <w:t>设备</w:t>
      </w:r>
      <w:bookmarkEnd w:id="31"/>
    </w:p>
    <w:p w14:paraId="42F656E9">
      <w:pPr>
        <w:spacing w:line="241" w:lineRule="auto"/>
        <w:rPr>
          <w:rFonts w:hint="eastAsia" w:ascii="宋体" w:hAnsi="宋体" w:eastAsia="宋体" w:cs="宋体"/>
          <w:sz w:val="28"/>
          <w:szCs w:val="28"/>
        </w:rPr>
      </w:pPr>
    </w:p>
    <w:p w14:paraId="22649357">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本项目电气设备利旧使用，需要新增的设备由投标方全部负责，电气件应使用 ABB、西门子或施耐德；PLC 控制器采用西门子，提升设备抗“ 闪停 ”能力，对带有PLC 或电脑控制的设备，在控制回路内加装一个UPS电源。与本项目相关的继电保护采用数字式微机型保护装置，保护配置按国家规定执行，具备速断、过流、过压、零序等保护功能。</w:t>
      </w:r>
    </w:p>
    <w:p w14:paraId="527BDF35">
      <w:pPr>
        <w:spacing w:before="2" w:line="227" w:lineRule="auto"/>
        <w:ind w:left="669"/>
        <w:outlineLvl w:val="1"/>
        <w:rPr>
          <w:rFonts w:hint="eastAsia" w:ascii="宋体" w:hAnsi="宋体" w:eastAsia="宋体" w:cs="宋体"/>
          <w:sz w:val="28"/>
          <w:szCs w:val="28"/>
        </w:rPr>
      </w:pPr>
      <w:bookmarkStart w:id="32" w:name="bookmark25"/>
      <w:bookmarkEnd w:id="32"/>
      <w:bookmarkStart w:id="33" w:name="bookmark26"/>
      <w:bookmarkEnd w:id="33"/>
      <w:bookmarkStart w:id="34" w:name="_Toc30171"/>
      <w:r>
        <w:rPr>
          <w:rFonts w:hint="eastAsia" w:ascii="宋体" w:hAnsi="宋体" w:eastAsia="宋体" w:cs="宋体"/>
          <w:b/>
          <w:bCs/>
          <w:sz w:val="28"/>
          <w:szCs w:val="28"/>
        </w:rPr>
        <w:t>2.6</w:t>
      </w:r>
      <w:r>
        <w:rPr>
          <w:rFonts w:hint="eastAsia" w:ascii="宋体" w:hAnsi="宋体" w:eastAsia="宋体" w:cs="宋体"/>
          <w:spacing w:val="28"/>
          <w:sz w:val="28"/>
          <w:szCs w:val="28"/>
        </w:rPr>
        <w:t xml:space="preserve"> </w:t>
      </w:r>
      <w:r>
        <w:rPr>
          <w:rFonts w:hint="eastAsia" w:ascii="宋体" w:hAnsi="宋体" w:eastAsia="宋体" w:cs="宋体"/>
          <w:b/>
          <w:bCs/>
          <w:sz w:val="28"/>
          <w:szCs w:val="28"/>
        </w:rPr>
        <w:t>仪表</w:t>
      </w:r>
      <w:r>
        <w:rPr>
          <w:rFonts w:hint="eastAsia" w:ascii="宋体" w:hAnsi="宋体" w:eastAsia="宋体" w:cs="宋体"/>
          <w:b/>
          <w:bCs/>
          <w:sz w:val="28"/>
          <w:szCs w:val="28"/>
          <w:lang w:eastAsia="zh-CN"/>
        </w:rPr>
        <w:t>及计量</w:t>
      </w:r>
      <w:r>
        <w:rPr>
          <w:rFonts w:hint="eastAsia" w:ascii="宋体" w:hAnsi="宋体" w:eastAsia="宋体" w:cs="宋体"/>
          <w:b/>
          <w:bCs/>
          <w:sz w:val="28"/>
          <w:szCs w:val="28"/>
        </w:rPr>
        <w:t>设备</w:t>
      </w:r>
      <w:bookmarkEnd w:id="34"/>
    </w:p>
    <w:p w14:paraId="1C6A3429">
      <w:pPr>
        <w:spacing w:line="244" w:lineRule="auto"/>
        <w:rPr>
          <w:rFonts w:hint="eastAsia" w:ascii="宋体" w:hAnsi="宋体" w:eastAsia="宋体" w:cs="宋体"/>
          <w:sz w:val="28"/>
          <w:szCs w:val="28"/>
        </w:rPr>
      </w:pPr>
    </w:p>
    <w:p w14:paraId="59308CFC">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流量计：流量计符合国家计量标准要求，满足贸易计量精度要求。各站总管出口安装流量计，共5台。</w:t>
      </w:r>
    </w:p>
    <w:p w14:paraId="0D30C99F">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压力检测：压力表设置现场就地指示压力表和压力变送 器，压力变送器选用智能型变送器。</w:t>
      </w:r>
    </w:p>
    <w:p w14:paraId="41F83551">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温度检测：温度表设置现场就地指示温度表和远传热电 阻。</w:t>
      </w:r>
    </w:p>
    <w:p w14:paraId="19DD4A00">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仪表安装：仪表随机安装在底座上，每个取样口带不锈钢球阀，装置上所有的仪表和阀门配套的连接件均采用不锈 钢材质。</w:t>
      </w:r>
    </w:p>
    <w:p w14:paraId="5FC53C55">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电气测量：所有电气测量和计量表计的设置符合有关国 家标准，满足贸易计量精度要求。</w:t>
      </w:r>
    </w:p>
    <w:p w14:paraId="264C445A">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其他要求：</w:t>
      </w:r>
      <w:r>
        <w:rPr>
          <w:rFonts w:hint="eastAsia" w:ascii="宋体" w:hAnsi="宋体" w:eastAsia="宋体" w:cs="宋体"/>
          <w:sz w:val="28"/>
          <w:szCs w:val="28"/>
          <w:lang w:val="en-US" w:eastAsia="zh-CN"/>
        </w:rPr>
        <w:t>所有与本项目相关的、满足本工程性能、符 合本工程相关规范和使用要求的检测仪表均由投标方负责。流量计、压力表以及变送器等满足计量精度要求，符合防护等级要求，安全、可靠、精准、先进，能满足良好的监视、控制需求。所有室外仪表、电源等满足防雨要求。安装在振动过大处的仪表，应考虑防振措施，保证仪表的可靠性以及使用寿命。仪表需经过检验并有相关检验报告，各测点信号应传至自控系统进行监控和记录。如任何一方发现计量表计量不准，均有权要求增加检验，计量表未检测出问题时，所产生费用由提出校正方承担，计量表检测出问题时，所产生费用由过错方承担，不涉及过错方的，由双方平均承担。</w:t>
      </w:r>
    </w:p>
    <w:p w14:paraId="328F5A5E">
      <w:pPr>
        <w:pStyle w:val="3"/>
        <w:spacing w:before="170" w:line="218" w:lineRule="auto"/>
        <w:ind w:left="2971"/>
        <w:outlineLvl w:val="0"/>
        <w:rPr>
          <w:rFonts w:hint="eastAsia" w:ascii="宋体" w:hAnsi="宋体" w:eastAsia="宋体" w:cs="宋体"/>
          <w:sz w:val="28"/>
          <w:szCs w:val="28"/>
        </w:rPr>
      </w:pPr>
      <w:bookmarkStart w:id="35" w:name="bookmark27"/>
      <w:bookmarkEnd w:id="35"/>
      <w:bookmarkStart w:id="36" w:name="_Toc28628"/>
      <w:r>
        <w:rPr>
          <w:rFonts w:hint="eastAsia" w:ascii="宋体" w:hAnsi="宋体" w:eastAsia="宋体" w:cs="宋体"/>
          <w:b/>
          <w:bCs/>
          <w:spacing w:val="5"/>
          <w:sz w:val="28"/>
          <w:szCs w:val="28"/>
        </w:rPr>
        <w:t>第3章</w:t>
      </w:r>
      <w:r>
        <w:rPr>
          <w:rFonts w:hint="eastAsia" w:ascii="宋体" w:hAnsi="宋体" w:eastAsia="宋体" w:cs="宋体"/>
          <w:spacing w:val="5"/>
          <w:sz w:val="28"/>
          <w:szCs w:val="28"/>
        </w:rPr>
        <w:t xml:space="preserve">  </w:t>
      </w:r>
      <w:r>
        <w:rPr>
          <w:rFonts w:hint="eastAsia" w:ascii="宋体" w:hAnsi="宋体" w:eastAsia="宋体" w:cs="宋体"/>
          <w:b/>
          <w:bCs/>
          <w:spacing w:val="5"/>
          <w:sz w:val="28"/>
          <w:szCs w:val="28"/>
        </w:rPr>
        <w:t>控制系统</w:t>
      </w:r>
      <w:bookmarkEnd w:id="36"/>
    </w:p>
    <w:p w14:paraId="322C601A">
      <w:pPr>
        <w:spacing w:line="404" w:lineRule="auto"/>
        <w:rPr>
          <w:rFonts w:hint="eastAsia" w:ascii="宋体" w:hAnsi="宋体" w:eastAsia="宋体" w:cs="宋体"/>
          <w:sz w:val="28"/>
          <w:szCs w:val="28"/>
        </w:rPr>
      </w:pPr>
    </w:p>
    <w:p w14:paraId="2BF7F458">
      <w:pPr>
        <w:spacing w:before="101" w:line="227" w:lineRule="auto"/>
        <w:ind w:left="672"/>
        <w:outlineLvl w:val="1"/>
        <w:rPr>
          <w:rFonts w:hint="eastAsia" w:ascii="宋体" w:hAnsi="宋体" w:eastAsia="宋体" w:cs="宋体"/>
          <w:sz w:val="28"/>
          <w:szCs w:val="28"/>
        </w:rPr>
      </w:pPr>
      <w:bookmarkStart w:id="37" w:name="bookmark30"/>
      <w:bookmarkEnd w:id="37"/>
      <w:bookmarkStart w:id="38" w:name="bookmark28"/>
      <w:bookmarkEnd w:id="38"/>
      <w:bookmarkStart w:id="39" w:name="bookmark29"/>
      <w:bookmarkEnd w:id="39"/>
      <w:bookmarkStart w:id="40" w:name="_Toc16714"/>
      <w:r>
        <w:rPr>
          <w:rFonts w:hint="eastAsia" w:ascii="宋体" w:hAnsi="宋体" w:eastAsia="宋体" w:cs="宋体"/>
          <w:b/>
          <w:bCs/>
          <w:spacing w:val="-1"/>
          <w:sz w:val="28"/>
          <w:szCs w:val="28"/>
        </w:rPr>
        <w:t>3.1</w:t>
      </w:r>
      <w:r>
        <w:rPr>
          <w:rFonts w:hint="eastAsia" w:ascii="宋体" w:hAnsi="宋体" w:eastAsia="宋体" w:cs="宋体"/>
          <w:spacing w:val="32"/>
          <w:sz w:val="28"/>
          <w:szCs w:val="28"/>
        </w:rPr>
        <w:t xml:space="preserve"> </w:t>
      </w:r>
      <w:r>
        <w:rPr>
          <w:rFonts w:hint="eastAsia" w:ascii="宋体" w:hAnsi="宋体" w:eastAsia="宋体" w:cs="宋体"/>
          <w:b/>
          <w:bCs/>
          <w:spacing w:val="-1"/>
          <w:sz w:val="28"/>
          <w:szCs w:val="28"/>
        </w:rPr>
        <w:t>控制要求</w:t>
      </w:r>
      <w:bookmarkEnd w:id="40"/>
    </w:p>
    <w:p w14:paraId="1BA352DD">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涉及的新增和利旧设备采用新建的控制系统，涉及的电气、自动化改造需具备良好的监控功能以及自动化控制功能，可实现对设备的安全监控，可实现对异常参数的声光报警，可实现对系统压力的自适应调节（根据系统压力的变化进行机组运行的优化调整等），可实现对露点温度的设定自动运行。通过对空压机及其辅助设备的自动调节、联锁控制、数据监视和优化管理，保证整个空压系统的安全可靠、经济合理和高效运行。</w:t>
      </w:r>
    </w:p>
    <w:p w14:paraId="490E4DE9">
      <w:pPr>
        <w:spacing w:line="228" w:lineRule="auto"/>
        <w:ind w:left="672"/>
        <w:outlineLvl w:val="1"/>
        <w:rPr>
          <w:rFonts w:hint="eastAsia" w:ascii="宋体" w:hAnsi="宋体" w:eastAsia="宋体" w:cs="宋体"/>
          <w:sz w:val="28"/>
          <w:szCs w:val="28"/>
        </w:rPr>
      </w:pPr>
      <w:bookmarkStart w:id="41" w:name="bookmark31"/>
      <w:bookmarkEnd w:id="41"/>
      <w:bookmarkStart w:id="42" w:name="bookmark32"/>
      <w:bookmarkEnd w:id="42"/>
      <w:bookmarkStart w:id="43" w:name="_Toc8499"/>
      <w:r>
        <w:rPr>
          <w:rFonts w:hint="eastAsia" w:ascii="宋体" w:hAnsi="宋体" w:eastAsia="宋体" w:cs="宋体"/>
          <w:b/>
          <w:bCs/>
          <w:spacing w:val="-9"/>
          <w:sz w:val="28"/>
          <w:szCs w:val="28"/>
        </w:rPr>
        <w:t>3.2</w:t>
      </w:r>
      <w:r>
        <w:rPr>
          <w:rFonts w:hint="eastAsia" w:ascii="宋体" w:hAnsi="宋体" w:eastAsia="宋体" w:cs="宋体"/>
          <w:spacing w:val="88"/>
          <w:sz w:val="28"/>
          <w:szCs w:val="28"/>
        </w:rPr>
        <w:t xml:space="preserve"> </w:t>
      </w:r>
      <w:r>
        <w:rPr>
          <w:rFonts w:hint="eastAsia" w:ascii="宋体" w:hAnsi="宋体" w:eastAsia="宋体" w:cs="宋体"/>
          <w:b/>
          <w:bCs/>
          <w:spacing w:val="-9"/>
          <w:sz w:val="28"/>
          <w:szCs w:val="28"/>
        </w:rPr>
        <w:t>自控水平</w:t>
      </w:r>
      <w:bookmarkEnd w:id="43"/>
    </w:p>
    <w:p w14:paraId="4F22146B">
      <w:pPr>
        <w:spacing w:line="241" w:lineRule="auto"/>
        <w:rPr>
          <w:rFonts w:hint="eastAsia" w:ascii="宋体" w:hAnsi="宋体" w:eastAsia="宋体" w:cs="宋体"/>
          <w:sz w:val="28"/>
          <w:szCs w:val="28"/>
        </w:rPr>
      </w:pPr>
    </w:p>
    <w:p w14:paraId="554CB9BA">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自控系统采用可靠、实用、先进的控制系统，在同行业 或类似工程中有良好业绩和应用经验，被实践证明可靠的优 质产品，以满足工艺安全运行所必需的运行、监视、控制和 保护功能。（对有爆炸危险的区域，仪表设备采用符合防爆 等级要求的防爆产品）。</w:t>
      </w:r>
    </w:p>
    <w:p w14:paraId="7822F1F4">
      <w:pPr>
        <w:spacing w:line="229" w:lineRule="auto"/>
        <w:ind w:left="672"/>
        <w:outlineLvl w:val="1"/>
        <w:rPr>
          <w:rFonts w:hint="eastAsia" w:ascii="宋体" w:hAnsi="宋体" w:eastAsia="宋体" w:cs="宋体"/>
          <w:sz w:val="28"/>
          <w:szCs w:val="28"/>
        </w:rPr>
      </w:pPr>
      <w:bookmarkStart w:id="44" w:name="bookmark33"/>
      <w:bookmarkEnd w:id="44"/>
      <w:bookmarkStart w:id="45" w:name="bookmark34"/>
      <w:bookmarkEnd w:id="45"/>
      <w:bookmarkStart w:id="46" w:name="_Toc3401"/>
      <w:r>
        <w:rPr>
          <w:rFonts w:hint="eastAsia" w:ascii="宋体" w:hAnsi="宋体" w:eastAsia="宋体" w:cs="宋体"/>
          <w:b/>
          <w:bCs/>
          <w:spacing w:val="-2"/>
          <w:sz w:val="28"/>
          <w:szCs w:val="28"/>
        </w:rPr>
        <w:t>3.3</w:t>
      </w:r>
      <w:r>
        <w:rPr>
          <w:rFonts w:hint="eastAsia" w:ascii="宋体" w:hAnsi="宋体" w:eastAsia="宋体" w:cs="宋体"/>
          <w:spacing w:val="39"/>
          <w:sz w:val="28"/>
          <w:szCs w:val="28"/>
        </w:rPr>
        <w:t xml:space="preserve"> </w:t>
      </w:r>
      <w:r>
        <w:rPr>
          <w:rFonts w:hint="eastAsia" w:ascii="宋体" w:hAnsi="宋体" w:eastAsia="宋体" w:cs="宋体"/>
          <w:b/>
          <w:bCs/>
          <w:spacing w:val="-2"/>
          <w:sz w:val="28"/>
          <w:szCs w:val="28"/>
        </w:rPr>
        <w:t>系统说明</w:t>
      </w:r>
      <w:bookmarkEnd w:id="46"/>
    </w:p>
    <w:p w14:paraId="5E0B529E">
      <w:pPr>
        <w:spacing w:line="241" w:lineRule="auto"/>
        <w:rPr>
          <w:rFonts w:hint="eastAsia" w:ascii="宋体" w:hAnsi="宋体" w:eastAsia="宋体" w:cs="宋体"/>
          <w:sz w:val="28"/>
          <w:szCs w:val="28"/>
        </w:rPr>
      </w:pPr>
    </w:p>
    <w:p w14:paraId="7336B9E0">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自控系统设置工程师站（ 1 台） 、操作站（2 台） ，实现主要过程控制、过程监视、故障报警、主要参数及报警记录、打印等任务。操作站与控制系统采用工业以太网通讯， 完成对机组的所有数据采集、储存、过程调节、逻辑控制及 保护操作功能。</w:t>
      </w:r>
    </w:p>
    <w:p w14:paraId="273F0F8E">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1#、2#、3#空压站进行光纤组网，新建项目所需的智能运行控制系统，实现自动化控制，根据各区块用气情况自动实现各空压站之间的调节。新装及利旧设备全部实现联网监控和操作。</w:t>
      </w:r>
    </w:p>
    <w:p w14:paraId="6883C12F">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为了防止人为误操作引发故障，操作站可以设定各种操 作权限，分别完成常规监视和操作（一般操作人员权限）；完成报警参数、PID 参数、SV值及特殊控制参数的整定操作； 完成控制系统组态、修改、维护（系统工程师权限）。</w:t>
      </w:r>
    </w:p>
    <w:p w14:paraId="33F303C4">
      <w:pPr>
        <w:spacing w:line="228" w:lineRule="auto"/>
        <w:ind w:left="672"/>
        <w:outlineLvl w:val="1"/>
        <w:rPr>
          <w:rFonts w:hint="eastAsia" w:ascii="宋体" w:hAnsi="宋体" w:eastAsia="宋体" w:cs="宋体"/>
          <w:sz w:val="28"/>
          <w:szCs w:val="28"/>
        </w:rPr>
      </w:pPr>
      <w:bookmarkStart w:id="47" w:name="bookmark36"/>
      <w:bookmarkEnd w:id="47"/>
      <w:bookmarkStart w:id="48" w:name="bookmark35"/>
      <w:bookmarkEnd w:id="48"/>
      <w:bookmarkStart w:id="49" w:name="_Toc19333"/>
      <w:r>
        <w:rPr>
          <w:rFonts w:hint="eastAsia" w:ascii="宋体" w:hAnsi="宋体" w:eastAsia="宋体" w:cs="宋体"/>
          <w:b/>
          <w:bCs/>
          <w:spacing w:val="-9"/>
          <w:sz w:val="28"/>
          <w:szCs w:val="28"/>
        </w:rPr>
        <w:t>3.4</w:t>
      </w:r>
      <w:r>
        <w:rPr>
          <w:rFonts w:hint="eastAsia" w:ascii="宋体" w:hAnsi="宋体" w:eastAsia="宋体" w:cs="宋体"/>
          <w:spacing w:val="88"/>
          <w:sz w:val="28"/>
          <w:szCs w:val="28"/>
        </w:rPr>
        <w:t xml:space="preserve"> </w:t>
      </w:r>
      <w:r>
        <w:rPr>
          <w:rFonts w:hint="eastAsia" w:ascii="宋体" w:hAnsi="宋体" w:eastAsia="宋体" w:cs="宋体"/>
          <w:b/>
          <w:bCs/>
          <w:spacing w:val="-9"/>
          <w:sz w:val="28"/>
          <w:szCs w:val="28"/>
        </w:rPr>
        <w:t>自控配置</w:t>
      </w:r>
      <w:bookmarkEnd w:id="49"/>
    </w:p>
    <w:p w14:paraId="5045E2E6">
      <w:pPr>
        <w:rPr>
          <w:rFonts w:hint="eastAsia" w:ascii="宋体" w:hAnsi="宋体" w:eastAsia="宋体" w:cs="宋体"/>
          <w:sz w:val="28"/>
          <w:szCs w:val="28"/>
        </w:rPr>
      </w:pPr>
    </w:p>
    <w:p w14:paraId="662EC505">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冗余功能：为保证系统运行的可靠性，系统总线、 电 源、通讯卡均采用冗余设计，具有高度可靠性。</w:t>
      </w:r>
    </w:p>
    <w:p w14:paraId="1E8EE12F">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控制功能：过程控制功能灵活多样，能够按照工艺要求 实现本套机组的各种运行控制模式。</w:t>
      </w:r>
    </w:p>
    <w:p w14:paraId="573EFB59">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I/O 配置：I/O 配置数量应考虑20%的余量（不低于 20%），插槽备用量不低于15%。数字量输出配中间继电器，来自电 气系统的数字量输入信号配中间继电器，所有三取二、三选 一信号分别接入不同输入模板；模拟量输入、输出信号加隔 离器（配电器）。</w:t>
      </w:r>
    </w:p>
    <w:p w14:paraId="41DECDC6">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UPS 电源：控制系统供电为 UPS 电源供电（不少于1h）。</w:t>
      </w:r>
    </w:p>
    <w:p w14:paraId="1971395A">
      <w:pPr>
        <w:spacing w:line="227" w:lineRule="auto"/>
        <w:ind w:left="672"/>
        <w:outlineLvl w:val="1"/>
        <w:rPr>
          <w:rFonts w:hint="eastAsia" w:ascii="宋体" w:hAnsi="宋体" w:eastAsia="宋体" w:cs="宋体"/>
          <w:sz w:val="28"/>
          <w:szCs w:val="28"/>
        </w:rPr>
      </w:pPr>
      <w:bookmarkStart w:id="50" w:name="bookmark38"/>
      <w:bookmarkEnd w:id="50"/>
      <w:bookmarkStart w:id="51" w:name="bookmark37"/>
      <w:bookmarkEnd w:id="51"/>
      <w:bookmarkStart w:id="52" w:name="_Toc22408"/>
      <w:r>
        <w:rPr>
          <w:rFonts w:hint="eastAsia" w:ascii="宋体" w:hAnsi="宋体" w:eastAsia="宋体" w:cs="宋体"/>
          <w:b/>
          <w:bCs/>
          <w:spacing w:val="-2"/>
          <w:sz w:val="28"/>
          <w:szCs w:val="28"/>
        </w:rPr>
        <w:t>3.5</w:t>
      </w:r>
      <w:r>
        <w:rPr>
          <w:rFonts w:hint="eastAsia" w:ascii="宋体" w:hAnsi="宋体" w:eastAsia="宋体" w:cs="宋体"/>
          <w:spacing w:val="39"/>
          <w:sz w:val="28"/>
          <w:szCs w:val="28"/>
        </w:rPr>
        <w:t xml:space="preserve"> </w:t>
      </w:r>
      <w:r>
        <w:rPr>
          <w:rFonts w:hint="eastAsia" w:ascii="宋体" w:hAnsi="宋体" w:eastAsia="宋体" w:cs="宋体"/>
          <w:b/>
          <w:bCs/>
          <w:spacing w:val="-2"/>
          <w:sz w:val="28"/>
          <w:szCs w:val="28"/>
        </w:rPr>
        <w:t>主要功能</w:t>
      </w:r>
      <w:bookmarkEnd w:id="52"/>
    </w:p>
    <w:p w14:paraId="2C9DB4AE">
      <w:pPr>
        <w:spacing w:line="244" w:lineRule="auto"/>
        <w:rPr>
          <w:rFonts w:hint="eastAsia" w:ascii="宋体" w:hAnsi="宋体" w:eastAsia="宋体" w:cs="宋体"/>
          <w:sz w:val="28"/>
          <w:szCs w:val="28"/>
        </w:rPr>
      </w:pPr>
    </w:p>
    <w:p w14:paraId="41C6DFC7">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本项目涉及的控制系统，主要包括空压机运行监控、干 燥机运行监控、空压机冷却水、管网压力等运行指标监控。</w:t>
      </w:r>
    </w:p>
    <w:p w14:paraId="18FA6760">
      <w:pPr>
        <w:spacing w:before="1" w:line="228" w:lineRule="auto"/>
        <w:ind w:left="680"/>
        <w:rPr>
          <w:rFonts w:hint="eastAsia" w:ascii="宋体" w:hAnsi="宋体" w:eastAsia="宋体" w:cs="宋体"/>
          <w:sz w:val="28"/>
          <w:szCs w:val="28"/>
        </w:rPr>
      </w:pPr>
      <w:r>
        <w:rPr>
          <w:rFonts w:hint="eastAsia" w:ascii="宋体" w:hAnsi="宋体" w:eastAsia="宋体" w:cs="宋体"/>
          <w:b/>
          <w:bCs/>
          <w:spacing w:val="2"/>
          <w:sz w:val="28"/>
          <w:szCs w:val="28"/>
        </w:rPr>
        <w:t>（1）工况监测</w:t>
      </w:r>
    </w:p>
    <w:p w14:paraId="22B95A41">
      <w:pPr>
        <w:spacing w:line="243" w:lineRule="auto"/>
        <w:rPr>
          <w:rFonts w:hint="eastAsia" w:ascii="宋体" w:hAnsi="宋体" w:eastAsia="宋体" w:cs="宋体"/>
          <w:sz w:val="28"/>
          <w:szCs w:val="28"/>
        </w:rPr>
      </w:pPr>
    </w:p>
    <w:p w14:paraId="3045C3B0">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实现对压力（包括空压机压力、润滑油压力、冷却水进 口压力、干燥机的压差检测、自洁式过滤器的压差检测等）、 温度（包括空压机温度、干燥机的温度检测、冷却水出口温度、 电机轴承温度）、振动以及电气参数（包括电机电流、电压、功率、日耗电量等）的连续在线监测功能。</w:t>
      </w:r>
    </w:p>
    <w:p w14:paraId="28AA9647">
      <w:pPr>
        <w:spacing w:line="226" w:lineRule="auto"/>
        <w:ind w:left="680"/>
        <w:rPr>
          <w:rFonts w:hint="eastAsia" w:ascii="宋体" w:hAnsi="宋体" w:eastAsia="宋体" w:cs="宋体"/>
          <w:sz w:val="28"/>
          <w:szCs w:val="28"/>
        </w:rPr>
      </w:pPr>
      <w:r>
        <w:rPr>
          <w:rFonts w:hint="eastAsia" w:ascii="宋体" w:hAnsi="宋体" w:eastAsia="宋体" w:cs="宋体"/>
          <w:b/>
          <w:bCs/>
          <w:spacing w:val="2"/>
          <w:sz w:val="28"/>
          <w:szCs w:val="28"/>
        </w:rPr>
        <w:t>（2）保护功能</w:t>
      </w:r>
    </w:p>
    <w:p w14:paraId="686DD840">
      <w:pPr>
        <w:spacing w:line="244" w:lineRule="auto"/>
        <w:rPr>
          <w:rFonts w:hint="eastAsia" w:ascii="宋体" w:hAnsi="宋体" w:eastAsia="宋体" w:cs="宋体"/>
          <w:sz w:val="28"/>
          <w:szCs w:val="28"/>
        </w:rPr>
      </w:pPr>
    </w:p>
    <w:p w14:paraId="7AD804CA">
      <w:pPr>
        <w:tabs>
          <w:tab w:val="left" w:pos="8609"/>
        </w:tabs>
        <w:spacing w:before="101" w:line="366" w:lineRule="auto"/>
        <w:ind w:left="0" w:leftChars="0" w:firstLine="656" w:firstLineChars="0"/>
        <w:jc w:val="both"/>
        <w:rPr>
          <w:rFonts w:hint="eastAsia" w:ascii="宋体" w:hAnsi="宋体" w:eastAsia="宋体" w:cs="宋体"/>
          <w:sz w:val="28"/>
          <w:szCs w:val="28"/>
        </w:rPr>
      </w:pPr>
      <w:r>
        <w:rPr>
          <w:rFonts w:hint="eastAsia" w:ascii="宋体" w:hAnsi="宋体" w:eastAsia="宋体" w:cs="宋体"/>
          <w:sz w:val="28"/>
          <w:szCs w:val="28"/>
          <w:lang w:val="en-US" w:eastAsia="zh-CN"/>
        </w:rPr>
        <w:t>空压机集中监控系统具有完备的保护及报警显示功能，可以实现喘振保护、堵转保护、电机过载停机、电源逆相、缺相保护、排气高温跳车、超过最大工作压力安全阀动作、断水保护、空气过滤器堵塞报警、油过滤器堵塞报警等。</w:t>
      </w:r>
    </w:p>
    <w:p w14:paraId="5E0CADFE">
      <w:pPr>
        <w:spacing w:before="1" w:line="224" w:lineRule="auto"/>
        <w:ind w:left="680"/>
        <w:rPr>
          <w:rFonts w:hint="eastAsia" w:ascii="宋体" w:hAnsi="宋体" w:eastAsia="宋体" w:cs="宋体"/>
          <w:sz w:val="28"/>
          <w:szCs w:val="28"/>
        </w:rPr>
      </w:pPr>
      <w:r>
        <w:rPr>
          <w:rFonts w:hint="eastAsia" w:ascii="宋体" w:hAnsi="宋体" w:eastAsia="宋体" w:cs="宋体"/>
          <w:b/>
          <w:bCs/>
          <w:spacing w:val="2"/>
          <w:sz w:val="28"/>
          <w:szCs w:val="28"/>
        </w:rPr>
        <w:t>（3）存档功能</w:t>
      </w:r>
    </w:p>
    <w:p w14:paraId="29C5BF97">
      <w:pPr>
        <w:spacing w:line="250" w:lineRule="auto"/>
        <w:rPr>
          <w:rFonts w:hint="eastAsia" w:ascii="宋体" w:hAnsi="宋体" w:eastAsia="宋体" w:cs="宋体"/>
          <w:sz w:val="28"/>
          <w:szCs w:val="28"/>
        </w:rPr>
      </w:pPr>
    </w:p>
    <w:p w14:paraId="05FFC627">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空压机集中监控系统能够将现场运行信息存入数据库，以便于随时进行历史数据查询。</w:t>
      </w:r>
    </w:p>
    <w:p w14:paraId="11AF16CB">
      <w:pPr>
        <w:spacing w:line="227" w:lineRule="auto"/>
        <w:ind w:left="680"/>
        <w:rPr>
          <w:rFonts w:hint="eastAsia" w:ascii="宋体" w:hAnsi="宋体" w:eastAsia="宋体" w:cs="宋体"/>
          <w:sz w:val="28"/>
          <w:szCs w:val="28"/>
        </w:rPr>
      </w:pPr>
      <w:r>
        <w:rPr>
          <w:rFonts w:hint="eastAsia" w:ascii="宋体" w:hAnsi="宋体" w:eastAsia="宋体" w:cs="宋体"/>
          <w:b/>
          <w:bCs/>
          <w:spacing w:val="-8"/>
          <w:sz w:val="28"/>
          <w:szCs w:val="28"/>
        </w:rPr>
        <w:t>（4）</w:t>
      </w:r>
      <w:r>
        <w:rPr>
          <w:rFonts w:hint="eastAsia" w:ascii="宋体" w:hAnsi="宋体" w:eastAsia="宋体" w:cs="宋体"/>
          <w:spacing w:val="-81"/>
          <w:sz w:val="28"/>
          <w:szCs w:val="28"/>
        </w:rPr>
        <w:t xml:space="preserve"> </w:t>
      </w:r>
      <w:r>
        <w:rPr>
          <w:rFonts w:hint="eastAsia" w:ascii="宋体" w:hAnsi="宋体" w:eastAsia="宋体" w:cs="宋体"/>
          <w:b/>
          <w:bCs/>
          <w:spacing w:val="-8"/>
          <w:sz w:val="28"/>
          <w:szCs w:val="28"/>
        </w:rPr>
        <w:t>曲线功能</w:t>
      </w:r>
    </w:p>
    <w:p w14:paraId="1C4E87BB">
      <w:pPr>
        <w:spacing w:line="244" w:lineRule="auto"/>
        <w:rPr>
          <w:rFonts w:hint="eastAsia" w:ascii="宋体" w:hAnsi="宋体" w:eastAsia="宋体" w:cs="宋体"/>
          <w:sz w:val="28"/>
          <w:szCs w:val="28"/>
        </w:rPr>
      </w:pPr>
    </w:p>
    <w:p w14:paraId="594AB6B0">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空压机集中监控系统可绘制各种运行参数实时曲线及历史曲线。</w:t>
      </w:r>
    </w:p>
    <w:p w14:paraId="2EE81E8B">
      <w:pPr>
        <w:spacing w:line="227" w:lineRule="auto"/>
        <w:ind w:left="680"/>
        <w:rPr>
          <w:rFonts w:hint="eastAsia" w:ascii="宋体" w:hAnsi="宋体" w:eastAsia="宋体" w:cs="宋体"/>
          <w:sz w:val="28"/>
          <w:szCs w:val="28"/>
        </w:rPr>
      </w:pPr>
      <w:r>
        <w:rPr>
          <w:rFonts w:hint="eastAsia" w:ascii="宋体" w:hAnsi="宋体" w:eastAsia="宋体" w:cs="宋体"/>
          <w:b/>
          <w:bCs/>
          <w:spacing w:val="5"/>
          <w:sz w:val="28"/>
          <w:szCs w:val="28"/>
        </w:rPr>
        <w:t>（5）能效监测与管理功能</w:t>
      </w:r>
    </w:p>
    <w:p w14:paraId="7A3377F7">
      <w:pPr>
        <w:spacing w:line="243" w:lineRule="auto"/>
        <w:rPr>
          <w:rFonts w:hint="eastAsia" w:ascii="宋体" w:hAnsi="宋体" w:eastAsia="宋体" w:cs="宋体"/>
          <w:sz w:val="28"/>
          <w:szCs w:val="28"/>
        </w:rPr>
      </w:pPr>
    </w:p>
    <w:p w14:paraId="0F04D435">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实时监测空压运行的能效指标，进行基本的能效分析和运行指示。</w:t>
      </w:r>
    </w:p>
    <w:p w14:paraId="77E3A539">
      <w:pPr>
        <w:spacing w:line="227" w:lineRule="auto"/>
        <w:ind w:left="672"/>
        <w:outlineLvl w:val="1"/>
        <w:rPr>
          <w:rFonts w:hint="eastAsia" w:ascii="宋体" w:hAnsi="宋体" w:eastAsia="宋体" w:cs="宋体"/>
          <w:sz w:val="28"/>
          <w:szCs w:val="28"/>
        </w:rPr>
      </w:pPr>
      <w:bookmarkStart w:id="53" w:name="bookmark40"/>
      <w:bookmarkEnd w:id="53"/>
      <w:bookmarkStart w:id="54" w:name="bookmark39"/>
      <w:bookmarkEnd w:id="54"/>
      <w:bookmarkStart w:id="55" w:name="_Toc13514"/>
      <w:r>
        <w:rPr>
          <w:rFonts w:hint="eastAsia" w:ascii="宋体" w:hAnsi="宋体" w:eastAsia="宋体" w:cs="宋体"/>
          <w:b/>
          <w:bCs/>
          <w:spacing w:val="-1"/>
          <w:sz w:val="28"/>
          <w:szCs w:val="28"/>
        </w:rPr>
        <w:t>3.6</w:t>
      </w:r>
      <w:r>
        <w:rPr>
          <w:rFonts w:hint="eastAsia" w:ascii="宋体" w:hAnsi="宋体" w:eastAsia="宋体" w:cs="宋体"/>
          <w:spacing w:val="32"/>
          <w:sz w:val="28"/>
          <w:szCs w:val="28"/>
        </w:rPr>
        <w:t xml:space="preserve"> </w:t>
      </w:r>
      <w:r>
        <w:rPr>
          <w:rFonts w:hint="eastAsia" w:ascii="宋体" w:hAnsi="宋体" w:eastAsia="宋体" w:cs="宋体"/>
          <w:b/>
          <w:bCs/>
          <w:spacing w:val="-1"/>
          <w:sz w:val="28"/>
          <w:szCs w:val="28"/>
        </w:rPr>
        <w:t>控制系统</w:t>
      </w:r>
      <w:bookmarkEnd w:id="55"/>
    </w:p>
    <w:p w14:paraId="31A2A665">
      <w:pPr>
        <w:spacing w:before="241" w:line="227" w:lineRule="auto"/>
        <w:ind w:left="672"/>
        <w:outlineLvl w:val="2"/>
        <w:rPr>
          <w:rFonts w:hint="eastAsia" w:ascii="宋体" w:hAnsi="宋体" w:eastAsia="宋体" w:cs="宋体"/>
          <w:sz w:val="28"/>
          <w:szCs w:val="28"/>
        </w:rPr>
      </w:pPr>
      <w:bookmarkStart w:id="56" w:name="bookmark41"/>
      <w:bookmarkEnd w:id="56"/>
      <w:bookmarkStart w:id="57" w:name="bookmark42"/>
      <w:bookmarkEnd w:id="57"/>
      <w:bookmarkStart w:id="58" w:name="_Toc22738"/>
      <w:r>
        <w:rPr>
          <w:rFonts w:hint="eastAsia" w:ascii="宋体" w:hAnsi="宋体" w:eastAsia="宋体" w:cs="宋体"/>
          <w:b/>
          <w:bCs/>
          <w:sz w:val="28"/>
          <w:szCs w:val="28"/>
        </w:rPr>
        <w:t>3.6.1</w:t>
      </w:r>
      <w:r>
        <w:rPr>
          <w:rFonts w:hint="eastAsia" w:ascii="宋体" w:hAnsi="宋体" w:eastAsia="宋体" w:cs="宋体"/>
          <w:spacing w:val="30"/>
          <w:sz w:val="28"/>
          <w:szCs w:val="28"/>
        </w:rPr>
        <w:t xml:space="preserve"> </w:t>
      </w:r>
      <w:r>
        <w:rPr>
          <w:rFonts w:hint="eastAsia" w:ascii="宋体" w:hAnsi="宋体" w:eastAsia="宋体" w:cs="宋体"/>
          <w:b/>
          <w:bCs/>
          <w:sz w:val="28"/>
          <w:szCs w:val="28"/>
        </w:rPr>
        <w:t>控制系统</w:t>
      </w:r>
      <w:bookmarkEnd w:id="58"/>
    </w:p>
    <w:p w14:paraId="501C371F">
      <w:pPr>
        <w:spacing w:line="244" w:lineRule="auto"/>
        <w:rPr>
          <w:rFonts w:hint="eastAsia" w:ascii="宋体" w:hAnsi="宋体" w:eastAsia="宋体" w:cs="宋体"/>
          <w:sz w:val="28"/>
          <w:szCs w:val="28"/>
        </w:rPr>
      </w:pPr>
    </w:p>
    <w:p w14:paraId="261AD954">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每台压缩机的控制系统应由一套PLC（包括HMI）控制系 统和各种传感器（仪表设备）组成，完成机组现场数据的采 集和监控、调节、机组性能调节、机组起停、故障报警、联 锁停机、状态监控等功能；带有的可编程逻辑控制器(</w:t>
      </w:r>
      <w:r>
        <w:rPr>
          <w:rFonts w:hint="eastAsia" w:ascii="宋体" w:hAnsi="宋体" w:eastAsia="宋体" w:cs="宋体"/>
          <w:color w:val="FF0000"/>
          <w:sz w:val="28"/>
          <w:szCs w:val="28"/>
          <w:lang w:val="en-US" w:eastAsia="zh-CN"/>
        </w:rPr>
        <w:t>PLC方式的</w:t>
      </w:r>
      <w:r>
        <w:rPr>
          <w:rFonts w:hint="eastAsia" w:ascii="宋体" w:hAnsi="宋体" w:eastAsia="宋体" w:cs="宋体"/>
          <w:sz w:val="28"/>
          <w:szCs w:val="28"/>
          <w:lang w:val="en-US" w:eastAsia="zh-CN"/>
        </w:rPr>
        <w:t>要求采用西门子)具有开放的通讯功能。</w:t>
      </w:r>
    </w:p>
    <w:p w14:paraId="09B533BD">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此可编程逻辑控制器具有以下功能：</w:t>
      </w:r>
    </w:p>
    <w:p w14:paraId="4309FAB4">
      <w:pPr>
        <w:spacing w:before="141" w:line="321" w:lineRule="auto"/>
        <w:ind w:left="611" w:right="70" w:firstLine="258"/>
        <w:rPr>
          <w:rFonts w:hint="eastAsia" w:ascii="宋体" w:hAnsi="宋体" w:eastAsia="宋体" w:cs="宋体"/>
          <w:sz w:val="28"/>
          <w:szCs w:val="28"/>
        </w:rPr>
      </w:pPr>
      <w:r>
        <w:rPr>
          <w:rFonts w:hint="eastAsia" w:ascii="宋体" w:hAnsi="宋体" w:eastAsia="宋体" w:cs="宋体"/>
          <w:spacing w:val="4"/>
          <w:sz w:val="28"/>
          <w:szCs w:val="28"/>
        </w:rPr>
        <w:t>● 显示压缩机的运行状态，并留有远传通</w:t>
      </w:r>
      <w:r>
        <w:rPr>
          <w:rFonts w:hint="eastAsia" w:ascii="宋体" w:hAnsi="宋体" w:eastAsia="宋体" w:cs="宋体"/>
          <w:spacing w:val="3"/>
          <w:sz w:val="28"/>
          <w:szCs w:val="28"/>
        </w:rPr>
        <w:t>讯接口以便</w:t>
      </w:r>
      <w:r>
        <w:rPr>
          <w:rFonts w:hint="eastAsia" w:ascii="宋体" w:hAnsi="宋体" w:eastAsia="宋体" w:cs="宋体"/>
          <w:sz w:val="28"/>
          <w:szCs w:val="28"/>
        </w:rPr>
        <w:t xml:space="preserve"> </w:t>
      </w:r>
      <w:r>
        <w:rPr>
          <w:rFonts w:hint="eastAsia" w:ascii="宋体" w:hAnsi="宋体" w:eastAsia="宋体" w:cs="宋体"/>
          <w:spacing w:val="11"/>
          <w:sz w:val="28"/>
          <w:szCs w:val="28"/>
        </w:rPr>
        <w:t>和集控系统进行通讯，也可在集控系统对压缩机进行监</w:t>
      </w:r>
      <w:r>
        <w:rPr>
          <w:rFonts w:hint="eastAsia" w:ascii="宋体" w:hAnsi="宋体" w:eastAsia="宋体" w:cs="宋体"/>
          <w:spacing w:val="7"/>
          <w:sz w:val="28"/>
          <w:szCs w:val="28"/>
        </w:rPr>
        <w:t>控，通讯方式</w:t>
      </w:r>
      <w:r>
        <w:rPr>
          <w:rFonts w:hint="eastAsia" w:ascii="宋体" w:hAnsi="宋体" w:eastAsia="宋体" w:cs="宋体"/>
          <w:spacing w:val="7"/>
          <w:sz w:val="28"/>
          <w:szCs w:val="28"/>
          <w:lang w:val="en-US" w:eastAsia="zh-CN"/>
        </w:rPr>
        <w:t>满足使用</w:t>
      </w:r>
      <w:r>
        <w:rPr>
          <w:rFonts w:hint="eastAsia" w:ascii="宋体" w:hAnsi="宋体" w:eastAsia="宋体" w:cs="宋体"/>
          <w:spacing w:val="7"/>
          <w:sz w:val="28"/>
          <w:szCs w:val="28"/>
        </w:rPr>
        <w:t>要求；</w:t>
      </w:r>
    </w:p>
    <w:p w14:paraId="6F14ECC0">
      <w:pPr>
        <w:spacing w:before="245" w:line="224" w:lineRule="auto"/>
        <w:jc w:val="right"/>
        <w:rPr>
          <w:rFonts w:hint="eastAsia" w:ascii="宋体" w:hAnsi="宋体" w:eastAsia="宋体" w:cs="宋体"/>
          <w:sz w:val="28"/>
          <w:szCs w:val="28"/>
        </w:rPr>
      </w:pPr>
      <w:r>
        <w:rPr>
          <w:rFonts w:hint="eastAsia" w:ascii="宋体" w:hAnsi="宋体" w:eastAsia="宋体" w:cs="宋体"/>
          <w:spacing w:val="-9"/>
          <w:sz w:val="28"/>
          <w:szCs w:val="28"/>
        </w:rPr>
        <w:t>●监测功能，监测压缩机的运行及故障自动</w:t>
      </w:r>
      <w:r>
        <w:rPr>
          <w:rFonts w:hint="eastAsia" w:ascii="宋体" w:hAnsi="宋体" w:eastAsia="宋体" w:cs="宋体"/>
          <w:spacing w:val="-10"/>
          <w:sz w:val="28"/>
          <w:szCs w:val="28"/>
        </w:rPr>
        <w:t>报警、停机；</w:t>
      </w:r>
    </w:p>
    <w:p w14:paraId="3CC588AF">
      <w:pPr>
        <w:spacing w:before="252" w:line="221" w:lineRule="auto"/>
        <w:ind w:left="870"/>
        <w:rPr>
          <w:rFonts w:hint="eastAsia" w:ascii="宋体" w:hAnsi="宋体" w:eastAsia="宋体" w:cs="宋体"/>
          <w:sz w:val="28"/>
          <w:szCs w:val="28"/>
        </w:rPr>
      </w:pPr>
      <w:r>
        <w:rPr>
          <w:rFonts w:hint="eastAsia" w:ascii="宋体" w:hAnsi="宋体" w:eastAsia="宋体" w:cs="宋体"/>
          <w:spacing w:val="4"/>
          <w:sz w:val="28"/>
          <w:szCs w:val="28"/>
        </w:rPr>
        <w:t>● 可对某些参数进行设定、调整；</w:t>
      </w:r>
    </w:p>
    <w:p w14:paraId="171DB9D3">
      <w:pPr>
        <w:spacing w:before="250" w:line="222" w:lineRule="auto"/>
        <w:ind w:left="870"/>
        <w:rPr>
          <w:rFonts w:hint="eastAsia" w:ascii="宋体" w:hAnsi="宋体" w:eastAsia="宋体" w:cs="宋体"/>
          <w:sz w:val="28"/>
          <w:szCs w:val="28"/>
        </w:rPr>
      </w:pPr>
      <w:r>
        <w:rPr>
          <w:rFonts w:hint="eastAsia" w:ascii="宋体" w:hAnsi="宋体" w:eastAsia="宋体" w:cs="宋体"/>
          <w:spacing w:val="-3"/>
          <w:sz w:val="28"/>
          <w:szCs w:val="28"/>
        </w:rPr>
        <w:t>●</w:t>
      </w:r>
      <w:r>
        <w:rPr>
          <w:rFonts w:hint="eastAsia" w:ascii="宋体" w:hAnsi="宋体" w:eastAsia="宋体" w:cs="宋体"/>
          <w:spacing w:val="34"/>
          <w:sz w:val="28"/>
          <w:szCs w:val="28"/>
        </w:rPr>
        <w:t xml:space="preserve"> </w:t>
      </w:r>
      <w:r>
        <w:rPr>
          <w:rFonts w:hint="eastAsia" w:ascii="宋体" w:hAnsi="宋体" w:eastAsia="宋体" w:cs="宋体"/>
          <w:spacing w:val="-3"/>
          <w:sz w:val="28"/>
          <w:szCs w:val="28"/>
        </w:rPr>
        <w:t>可实现压力调节；</w:t>
      </w:r>
    </w:p>
    <w:p w14:paraId="2145DBCD">
      <w:pPr>
        <w:spacing w:before="249" w:line="222" w:lineRule="auto"/>
        <w:ind w:left="870"/>
        <w:rPr>
          <w:rFonts w:hint="eastAsia" w:ascii="宋体" w:hAnsi="宋体" w:eastAsia="宋体" w:cs="宋体"/>
          <w:sz w:val="28"/>
          <w:szCs w:val="28"/>
        </w:rPr>
      </w:pPr>
      <w:r>
        <w:rPr>
          <w:rFonts w:hint="eastAsia" w:ascii="宋体" w:hAnsi="宋体" w:eastAsia="宋体" w:cs="宋体"/>
          <w:spacing w:val="2"/>
          <w:sz w:val="28"/>
          <w:szCs w:val="28"/>
        </w:rPr>
        <w:t>● 润滑系统的自动控制；</w:t>
      </w:r>
    </w:p>
    <w:p w14:paraId="26ABA47C">
      <w:pPr>
        <w:spacing w:before="252" w:line="220" w:lineRule="auto"/>
        <w:ind w:left="870"/>
        <w:rPr>
          <w:rFonts w:hint="eastAsia" w:ascii="宋体" w:hAnsi="宋体" w:eastAsia="宋体" w:cs="宋体"/>
          <w:sz w:val="28"/>
          <w:szCs w:val="28"/>
        </w:rPr>
      </w:pPr>
      <w:r>
        <w:rPr>
          <w:rFonts w:hint="eastAsia" w:ascii="宋体" w:hAnsi="宋体" w:eastAsia="宋体" w:cs="宋体"/>
          <w:spacing w:val="2"/>
          <w:sz w:val="28"/>
          <w:szCs w:val="28"/>
        </w:rPr>
        <w:t>● 检查压缩机开机条件；</w:t>
      </w:r>
    </w:p>
    <w:p w14:paraId="5AD52E92">
      <w:pPr>
        <w:spacing w:before="252" w:line="222" w:lineRule="auto"/>
        <w:ind w:left="870"/>
        <w:rPr>
          <w:rFonts w:hint="eastAsia" w:ascii="宋体" w:hAnsi="宋体" w:eastAsia="宋体" w:cs="宋体"/>
          <w:sz w:val="28"/>
          <w:szCs w:val="28"/>
        </w:rPr>
      </w:pPr>
      <w:r>
        <w:rPr>
          <w:rFonts w:hint="eastAsia" w:ascii="宋体" w:hAnsi="宋体" w:eastAsia="宋体" w:cs="宋体"/>
          <w:spacing w:val="4"/>
          <w:sz w:val="28"/>
          <w:szCs w:val="28"/>
        </w:rPr>
        <w:t>● 压缩机的自动启动、停机功能；</w:t>
      </w:r>
    </w:p>
    <w:p w14:paraId="528F46A0">
      <w:pPr>
        <w:spacing w:before="248" w:line="222" w:lineRule="auto"/>
        <w:ind w:left="870"/>
        <w:rPr>
          <w:rFonts w:hint="eastAsia" w:ascii="宋体" w:hAnsi="宋体" w:eastAsia="宋体" w:cs="宋体"/>
          <w:sz w:val="28"/>
          <w:szCs w:val="28"/>
        </w:rPr>
      </w:pPr>
      <w:r>
        <w:rPr>
          <w:rFonts w:hint="eastAsia" w:ascii="宋体" w:hAnsi="宋体" w:eastAsia="宋体" w:cs="宋体"/>
          <w:spacing w:val="3"/>
          <w:sz w:val="28"/>
          <w:szCs w:val="28"/>
        </w:rPr>
        <w:t>● 压缩机润滑系统的自动控制；</w:t>
      </w:r>
    </w:p>
    <w:p w14:paraId="09DA66AA">
      <w:pPr>
        <w:spacing w:before="252" w:line="222" w:lineRule="auto"/>
        <w:ind w:left="870"/>
        <w:rPr>
          <w:rFonts w:hint="eastAsia" w:ascii="宋体" w:hAnsi="宋体" w:eastAsia="宋体" w:cs="宋体"/>
          <w:sz w:val="28"/>
          <w:szCs w:val="28"/>
        </w:rPr>
      </w:pPr>
      <w:r>
        <w:rPr>
          <w:rFonts w:hint="eastAsia" w:ascii="宋体" w:hAnsi="宋体" w:eastAsia="宋体" w:cs="宋体"/>
          <w:spacing w:val="4"/>
          <w:sz w:val="28"/>
          <w:szCs w:val="28"/>
        </w:rPr>
        <w:t>● 排气压力与防喘振的自动控制；</w:t>
      </w:r>
    </w:p>
    <w:p w14:paraId="113E3F37">
      <w:pPr>
        <w:spacing w:before="248" w:line="222" w:lineRule="auto"/>
        <w:ind w:left="870"/>
        <w:rPr>
          <w:rFonts w:hint="eastAsia" w:ascii="宋体" w:hAnsi="宋体" w:eastAsia="宋体" w:cs="宋体"/>
          <w:sz w:val="28"/>
          <w:szCs w:val="28"/>
        </w:rPr>
      </w:pPr>
      <w:r>
        <w:rPr>
          <w:rFonts w:hint="eastAsia" w:ascii="宋体" w:hAnsi="宋体" w:eastAsia="宋体" w:cs="宋体"/>
          <w:spacing w:val="2"/>
          <w:sz w:val="28"/>
          <w:szCs w:val="28"/>
        </w:rPr>
        <w:t>●</w:t>
      </w:r>
      <w:r>
        <w:rPr>
          <w:rFonts w:hint="eastAsia" w:ascii="宋体" w:hAnsi="宋体" w:eastAsia="宋体" w:cs="宋体"/>
          <w:spacing w:val="77"/>
          <w:sz w:val="28"/>
          <w:szCs w:val="28"/>
        </w:rPr>
        <w:t xml:space="preserve"> </w:t>
      </w:r>
      <w:r>
        <w:rPr>
          <w:rFonts w:hint="eastAsia" w:ascii="宋体" w:hAnsi="宋体" w:eastAsia="宋体" w:cs="宋体"/>
          <w:spacing w:val="2"/>
          <w:sz w:val="28"/>
          <w:szCs w:val="28"/>
        </w:rPr>
        <w:t>自动跟踪喘振线的漂移，调整喘振控制点；</w:t>
      </w:r>
    </w:p>
    <w:p w14:paraId="433F9E84">
      <w:pPr>
        <w:spacing w:before="252" w:line="221" w:lineRule="auto"/>
        <w:ind w:left="870"/>
        <w:rPr>
          <w:rFonts w:hint="eastAsia" w:ascii="宋体" w:hAnsi="宋体" w:eastAsia="宋体" w:cs="宋体"/>
          <w:sz w:val="28"/>
          <w:szCs w:val="28"/>
        </w:rPr>
      </w:pPr>
      <w:r>
        <w:rPr>
          <w:rFonts w:hint="eastAsia" w:ascii="宋体" w:hAnsi="宋体" w:eastAsia="宋体" w:cs="宋体"/>
          <w:spacing w:val="4"/>
          <w:sz w:val="28"/>
          <w:szCs w:val="28"/>
        </w:rPr>
        <w:t>● 可自动消除喘振的喘振保护装置；</w:t>
      </w:r>
    </w:p>
    <w:p w14:paraId="27262ED2">
      <w:pPr>
        <w:spacing w:before="251" w:line="221" w:lineRule="auto"/>
        <w:ind w:left="870"/>
        <w:rPr>
          <w:rFonts w:hint="eastAsia" w:ascii="宋体" w:hAnsi="宋体" w:eastAsia="宋体" w:cs="宋体"/>
          <w:sz w:val="28"/>
          <w:szCs w:val="28"/>
        </w:rPr>
      </w:pPr>
      <w:r>
        <w:rPr>
          <w:rFonts w:hint="eastAsia" w:ascii="宋体" w:hAnsi="宋体" w:eastAsia="宋体" w:cs="宋体"/>
          <w:spacing w:val="-4"/>
          <w:sz w:val="28"/>
          <w:szCs w:val="28"/>
        </w:rPr>
        <w:t>●</w:t>
      </w:r>
      <w:r>
        <w:rPr>
          <w:rFonts w:hint="eastAsia" w:ascii="宋体" w:hAnsi="宋体" w:eastAsia="宋体" w:cs="宋体"/>
          <w:spacing w:val="56"/>
          <w:sz w:val="28"/>
          <w:szCs w:val="28"/>
        </w:rPr>
        <w:t xml:space="preserve"> </w:t>
      </w:r>
      <w:r>
        <w:rPr>
          <w:rFonts w:hint="eastAsia" w:ascii="宋体" w:hAnsi="宋体" w:eastAsia="宋体" w:cs="宋体"/>
          <w:spacing w:val="-4"/>
          <w:sz w:val="28"/>
          <w:szCs w:val="28"/>
        </w:rPr>
        <w:t>电机限载保护装置；</w:t>
      </w:r>
    </w:p>
    <w:p w14:paraId="23B5CC55">
      <w:pPr>
        <w:spacing w:before="251" w:line="220" w:lineRule="auto"/>
        <w:ind w:left="870"/>
        <w:rPr>
          <w:rFonts w:hint="eastAsia" w:ascii="宋体" w:hAnsi="宋体" w:eastAsia="宋体" w:cs="宋体"/>
          <w:sz w:val="28"/>
          <w:szCs w:val="28"/>
        </w:rPr>
      </w:pPr>
      <w:r>
        <w:rPr>
          <w:rFonts w:hint="eastAsia" w:ascii="宋体" w:hAnsi="宋体" w:eastAsia="宋体" w:cs="宋体"/>
          <w:spacing w:val="6"/>
          <w:sz w:val="28"/>
          <w:szCs w:val="28"/>
        </w:rPr>
        <w:t>● 监控需维护保养的部件，并有传感器自检功</w:t>
      </w:r>
      <w:r>
        <w:rPr>
          <w:rFonts w:hint="eastAsia" w:ascii="宋体" w:hAnsi="宋体" w:eastAsia="宋体" w:cs="宋体"/>
          <w:spacing w:val="5"/>
          <w:sz w:val="28"/>
          <w:szCs w:val="28"/>
        </w:rPr>
        <w:t>能；</w:t>
      </w:r>
    </w:p>
    <w:p w14:paraId="42F85E86">
      <w:pPr>
        <w:spacing w:before="254" w:line="221" w:lineRule="auto"/>
        <w:ind w:left="870"/>
        <w:rPr>
          <w:rFonts w:hint="eastAsia" w:ascii="宋体" w:hAnsi="宋体" w:eastAsia="宋体" w:cs="宋体"/>
          <w:sz w:val="28"/>
          <w:szCs w:val="28"/>
        </w:rPr>
      </w:pPr>
      <w:r>
        <w:rPr>
          <w:rFonts w:hint="eastAsia" w:ascii="宋体" w:hAnsi="宋体" w:eastAsia="宋体" w:cs="宋体"/>
          <w:spacing w:val="4"/>
          <w:sz w:val="28"/>
          <w:szCs w:val="28"/>
        </w:rPr>
        <w:t>● 所有的线缆末端均采用锁紧保护。</w:t>
      </w:r>
    </w:p>
    <w:p w14:paraId="115C1C75">
      <w:pPr>
        <w:spacing w:before="249" w:line="227" w:lineRule="auto"/>
        <w:ind w:left="672"/>
        <w:outlineLvl w:val="2"/>
        <w:rPr>
          <w:rFonts w:hint="eastAsia" w:ascii="宋体" w:hAnsi="宋体" w:eastAsia="宋体" w:cs="宋体"/>
          <w:sz w:val="28"/>
          <w:szCs w:val="28"/>
        </w:rPr>
      </w:pPr>
      <w:bookmarkStart w:id="59" w:name="bookmark44"/>
      <w:bookmarkEnd w:id="59"/>
      <w:bookmarkStart w:id="60" w:name="bookmark43"/>
      <w:bookmarkEnd w:id="60"/>
      <w:bookmarkStart w:id="61" w:name="_Toc14919"/>
      <w:r>
        <w:rPr>
          <w:rFonts w:hint="eastAsia" w:ascii="宋体" w:hAnsi="宋体" w:eastAsia="宋体" w:cs="宋体"/>
          <w:b/>
          <w:bCs/>
          <w:sz w:val="28"/>
          <w:szCs w:val="28"/>
        </w:rPr>
        <w:t>3.6.2</w:t>
      </w:r>
      <w:r>
        <w:rPr>
          <w:rFonts w:hint="eastAsia" w:ascii="宋体" w:hAnsi="宋体" w:eastAsia="宋体" w:cs="宋体"/>
          <w:spacing w:val="30"/>
          <w:sz w:val="28"/>
          <w:szCs w:val="28"/>
        </w:rPr>
        <w:t xml:space="preserve"> </w:t>
      </w:r>
      <w:r>
        <w:rPr>
          <w:rFonts w:hint="eastAsia" w:ascii="宋体" w:hAnsi="宋体" w:eastAsia="宋体" w:cs="宋体"/>
          <w:b/>
          <w:bCs/>
          <w:sz w:val="28"/>
          <w:szCs w:val="28"/>
        </w:rPr>
        <w:t>控制模式</w:t>
      </w:r>
      <w:bookmarkEnd w:id="61"/>
    </w:p>
    <w:p w14:paraId="60DE660E">
      <w:pPr>
        <w:spacing w:line="242" w:lineRule="auto"/>
        <w:rPr>
          <w:rFonts w:hint="eastAsia" w:ascii="宋体" w:hAnsi="宋体" w:eastAsia="宋体" w:cs="宋体"/>
          <w:sz w:val="28"/>
          <w:szCs w:val="28"/>
        </w:rPr>
      </w:pPr>
    </w:p>
    <w:p w14:paraId="53D050C4">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空压机运行两种控制模式：恒压式控制、自动双模式控 制，使空压机在各种工况下均有良好的节能表现。</w:t>
      </w:r>
    </w:p>
    <w:p w14:paraId="6CF168DE">
      <w:pPr>
        <w:spacing w:before="101" w:line="355" w:lineRule="auto"/>
        <w:ind w:left="36" w:right="70" w:firstLine="657"/>
        <w:rPr>
          <w:rFonts w:hint="eastAsia" w:ascii="宋体" w:hAnsi="宋体" w:eastAsia="宋体" w:cs="宋体"/>
          <w:spacing w:val="4"/>
          <w:sz w:val="28"/>
          <w:szCs w:val="28"/>
        </w:rPr>
      </w:pPr>
      <w:r>
        <w:rPr>
          <w:rFonts w:hint="eastAsia" w:ascii="宋体" w:hAnsi="宋体" w:eastAsia="宋体" w:cs="宋体"/>
          <w:b/>
          <w:bCs/>
          <w:spacing w:val="-4"/>
          <w:sz w:val="28"/>
          <w:szCs w:val="28"/>
        </w:rPr>
        <w:t>（</w:t>
      </w:r>
      <w:r>
        <w:rPr>
          <w:rFonts w:hint="eastAsia" w:ascii="宋体" w:hAnsi="宋体" w:eastAsia="宋体" w:cs="宋体"/>
          <w:spacing w:val="-73"/>
          <w:sz w:val="28"/>
          <w:szCs w:val="28"/>
        </w:rPr>
        <w:t xml:space="preserve"> </w:t>
      </w:r>
      <w:r>
        <w:rPr>
          <w:rFonts w:hint="eastAsia" w:ascii="宋体" w:hAnsi="宋体" w:eastAsia="宋体" w:cs="宋体"/>
          <w:b/>
          <w:bCs/>
          <w:spacing w:val="-4"/>
          <w:sz w:val="28"/>
          <w:szCs w:val="28"/>
        </w:rPr>
        <w:t>1）恒压式控制</w:t>
      </w:r>
    </w:p>
    <w:p w14:paraId="2C0CCC32">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该模式控制是通过调节进口导叶和卸荷控制阀来维持压缩机的额定排气压力。</w:t>
      </w:r>
    </w:p>
    <w:p w14:paraId="5CECCF10">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当厂用空气消耗低于设计流量时（在A-B之间），调节进口导叶开度可以维持额定压力；当压缩机在B点左侧运行时，此时出口卸荷控制阀打开，进口导叶不动，把过量的空气排到大气中。只有在进气温度或压力产生变化时，控制系统才调节进气导叶，以维持设计电机电流或进气密度。</w:t>
      </w:r>
    </w:p>
    <w:p w14:paraId="6CEFFC03">
      <w:pPr>
        <w:spacing w:before="31" w:line="2835" w:lineRule="exact"/>
        <w:ind w:firstLine="2322"/>
        <w:rPr>
          <w:rFonts w:hint="eastAsia" w:ascii="宋体" w:hAnsi="宋体" w:eastAsia="宋体" w:cs="宋体"/>
          <w:sz w:val="28"/>
          <w:szCs w:val="28"/>
        </w:rPr>
      </w:pPr>
      <w:r>
        <w:rPr>
          <w:rFonts w:hint="eastAsia" w:ascii="宋体" w:hAnsi="宋体" w:eastAsia="宋体" w:cs="宋体"/>
          <w:position w:val="-56"/>
          <w:sz w:val="28"/>
          <w:szCs w:val="28"/>
        </w:rPr>
        <w:drawing>
          <wp:inline distT="0" distB="0" distL="0" distR="0">
            <wp:extent cx="2332990" cy="17995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2333243" cy="1799844"/>
                    </a:xfrm>
                    <a:prstGeom prst="rect">
                      <a:avLst/>
                    </a:prstGeom>
                  </pic:spPr>
                </pic:pic>
              </a:graphicData>
            </a:graphic>
          </wp:inline>
        </w:drawing>
      </w:r>
    </w:p>
    <w:p w14:paraId="22048362">
      <w:pPr>
        <w:spacing w:before="306" w:line="222" w:lineRule="auto"/>
        <w:ind w:left="637"/>
        <w:rPr>
          <w:rFonts w:hint="eastAsia" w:ascii="宋体" w:hAnsi="宋体" w:eastAsia="宋体" w:cs="宋体"/>
          <w:sz w:val="28"/>
          <w:szCs w:val="28"/>
        </w:rPr>
      </w:pPr>
      <w:r>
        <w:rPr>
          <w:rFonts w:hint="eastAsia" w:ascii="宋体" w:hAnsi="宋体" w:eastAsia="宋体" w:cs="宋体"/>
          <w:b/>
          <w:bCs/>
          <w:spacing w:val="-1"/>
          <w:sz w:val="28"/>
          <w:szCs w:val="28"/>
        </w:rPr>
        <w:t>（</w:t>
      </w:r>
      <w:r>
        <w:rPr>
          <w:rFonts w:hint="eastAsia" w:ascii="宋体" w:hAnsi="宋体" w:eastAsia="宋体" w:cs="宋体"/>
          <w:spacing w:val="-78"/>
          <w:sz w:val="28"/>
          <w:szCs w:val="28"/>
        </w:rPr>
        <w:t xml:space="preserve"> </w:t>
      </w:r>
      <w:r>
        <w:rPr>
          <w:rFonts w:hint="eastAsia" w:ascii="宋体" w:hAnsi="宋体" w:eastAsia="宋体" w:cs="宋体"/>
          <w:b/>
          <w:bCs/>
          <w:spacing w:val="-1"/>
          <w:sz w:val="28"/>
          <w:szCs w:val="28"/>
        </w:rPr>
        <w:t>2）自动双模式控制</w:t>
      </w:r>
    </w:p>
    <w:p w14:paraId="2D8A2F9B">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自动双模式控制是当压缩机排气压力达到设计的排气压力时，进口导叶会对进气进行节流直到达到最小电流设定点以降低电机功率。</w:t>
      </w:r>
    </w:p>
    <w:p w14:paraId="798AA0BE">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假如系统压力（压缩机排气压力）持续增长，卸荷阀将 打开以保持所设定的排气压力。假如卸荷阀开度超过设定的开度并超过所设定的时间，压缩机就会卸载（卸荷阀全开，进气导叶关闭）；压缩机将在卸载状态下运行直到厂用系统压力。</w:t>
      </w:r>
    </w:p>
    <w:p w14:paraId="489CB938">
      <w:pPr>
        <w:spacing w:before="53" w:line="365" w:lineRule="auto"/>
        <w:ind w:left="35" w:right="14" w:firstLine="643"/>
        <w:jc w:val="center"/>
        <w:rPr>
          <w:rFonts w:hint="eastAsia" w:ascii="宋体" w:hAnsi="宋体" w:eastAsia="宋体" w:cs="宋体"/>
          <w:sz w:val="28"/>
          <w:szCs w:val="28"/>
        </w:rPr>
      </w:pPr>
      <w:r>
        <w:rPr>
          <w:rFonts w:hint="eastAsia" w:ascii="宋体" w:hAnsi="宋体" w:eastAsia="宋体" w:cs="宋体"/>
          <w:position w:val="-55"/>
          <w:sz w:val="28"/>
          <w:szCs w:val="28"/>
        </w:rPr>
        <w:drawing>
          <wp:inline distT="0" distB="0" distL="0" distR="0">
            <wp:extent cx="2218690" cy="17722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2218944" cy="1772411"/>
                    </a:xfrm>
                    <a:prstGeom prst="rect">
                      <a:avLst/>
                    </a:prstGeom>
                  </pic:spPr>
                </pic:pic>
              </a:graphicData>
            </a:graphic>
          </wp:inline>
        </w:drawing>
      </w:r>
    </w:p>
    <w:p w14:paraId="21C8ABD3">
      <w:pPr>
        <w:spacing w:before="162" w:line="222" w:lineRule="auto"/>
        <w:ind w:left="637"/>
        <w:rPr>
          <w:rFonts w:hint="eastAsia" w:ascii="宋体" w:hAnsi="宋体" w:eastAsia="宋体" w:cs="宋体"/>
          <w:sz w:val="28"/>
          <w:szCs w:val="28"/>
        </w:rPr>
      </w:pPr>
      <w:r>
        <w:rPr>
          <w:rFonts w:hint="eastAsia" w:ascii="宋体" w:hAnsi="宋体" w:eastAsia="宋体" w:cs="宋体"/>
          <w:b/>
          <w:bCs/>
          <w:spacing w:val="-5"/>
          <w:sz w:val="28"/>
          <w:szCs w:val="28"/>
        </w:rPr>
        <w:t>（</w:t>
      </w:r>
      <w:r>
        <w:rPr>
          <w:rFonts w:hint="eastAsia" w:ascii="宋体" w:hAnsi="宋体" w:eastAsia="宋体" w:cs="宋体"/>
          <w:spacing w:val="-65"/>
          <w:sz w:val="28"/>
          <w:szCs w:val="28"/>
        </w:rPr>
        <w:t xml:space="preserve"> </w:t>
      </w:r>
      <w:r>
        <w:rPr>
          <w:rFonts w:hint="eastAsia" w:ascii="宋体" w:hAnsi="宋体" w:eastAsia="宋体" w:cs="宋体"/>
          <w:b/>
          <w:bCs/>
          <w:spacing w:val="-5"/>
          <w:sz w:val="28"/>
          <w:szCs w:val="28"/>
        </w:rPr>
        <w:t>3）防喘振控制</w:t>
      </w:r>
    </w:p>
    <w:p w14:paraId="5E8B48A6">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压缩机的控制器通过监控压缩机压力和电流的波动状况，如果波动的频率和幅度超过预先设定值则压缩机会报警并自动保护。</w:t>
      </w:r>
    </w:p>
    <w:p w14:paraId="1AB86F6F">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外界温度和其他条件的变化会引起压缩机喘振特性的变化，喘振线漂移自动补偿技术可自动补偿压缩机喘振特性的变化。因而可根据实际运行条件提供最大可能的压缩机运行调节范围，节省电耗。</w:t>
      </w:r>
    </w:p>
    <w:p w14:paraId="79D3DDBE">
      <w:pPr>
        <w:spacing w:before="56" w:line="222" w:lineRule="auto"/>
        <w:ind w:left="637"/>
        <w:rPr>
          <w:rFonts w:hint="eastAsia" w:ascii="宋体" w:hAnsi="宋体" w:eastAsia="宋体" w:cs="宋体"/>
          <w:sz w:val="28"/>
          <w:szCs w:val="28"/>
        </w:rPr>
      </w:pPr>
      <w:r>
        <w:rPr>
          <w:rFonts w:hint="eastAsia" w:ascii="宋体" w:hAnsi="宋体" w:eastAsia="宋体" w:cs="宋体"/>
          <w:b/>
          <w:bCs/>
          <w:spacing w:val="-14"/>
          <w:sz w:val="28"/>
          <w:szCs w:val="28"/>
        </w:rPr>
        <w:t>（</w:t>
      </w:r>
      <w:r>
        <w:rPr>
          <w:rFonts w:hint="eastAsia" w:ascii="宋体" w:hAnsi="宋体" w:eastAsia="宋体" w:cs="宋体"/>
          <w:spacing w:val="-81"/>
          <w:sz w:val="28"/>
          <w:szCs w:val="28"/>
        </w:rPr>
        <w:t xml:space="preserve"> </w:t>
      </w:r>
      <w:r>
        <w:rPr>
          <w:rFonts w:hint="eastAsia" w:ascii="宋体" w:hAnsi="宋体" w:eastAsia="宋体" w:cs="宋体"/>
          <w:b/>
          <w:bCs/>
          <w:spacing w:val="-14"/>
          <w:sz w:val="28"/>
          <w:szCs w:val="28"/>
        </w:rPr>
        <w:t>4</w:t>
      </w:r>
      <w:r>
        <w:rPr>
          <w:rFonts w:hint="eastAsia" w:ascii="宋体" w:hAnsi="宋体" w:eastAsia="宋体" w:cs="宋体"/>
          <w:spacing w:val="-67"/>
          <w:sz w:val="28"/>
          <w:szCs w:val="28"/>
        </w:rPr>
        <w:t xml:space="preserve"> </w:t>
      </w:r>
      <w:r>
        <w:rPr>
          <w:rFonts w:hint="eastAsia" w:ascii="宋体" w:hAnsi="宋体" w:eastAsia="宋体" w:cs="宋体"/>
          <w:b/>
          <w:bCs/>
          <w:spacing w:val="-14"/>
          <w:sz w:val="28"/>
          <w:szCs w:val="28"/>
        </w:rPr>
        <w:t>）油系统控制</w:t>
      </w:r>
    </w:p>
    <w:p w14:paraId="066B1E32">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具有控制辅助油泵，油加热器和油雾排出功能；润滑  油系统的作用是给机组提供润滑油，以保证机组的正常运行。 油压与辅油泵实现连锁控制，降低到设备运行允许最小值时，控制辅油泵的自动启动。</w:t>
      </w:r>
    </w:p>
    <w:p w14:paraId="2AD70C52">
      <w:pPr>
        <w:spacing w:before="52" w:line="220" w:lineRule="auto"/>
        <w:ind w:left="637"/>
        <w:rPr>
          <w:rFonts w:hint="eastAsia" w:ascii="宋体" w:hAnsi="宋体" w:eastAsia="宋体" w:cs="宋体"/>
          <w:sz w:val="28"/>
          <w:szCs w:val="28"/>
        </w:rPr>
      </w:pPr>
      <w:r>
        <w:rPr>
          <w:rFonts w:hint="eastAsia" w:ascii="宋体" w:hAnsi="宋体" w:eastAsia="宋体" w:cs="宋体"/>
          <w:b/>
          <w:bCs/>
          <w:sz w:val="28"/>
          <w:szCs w:val="28"/>
        </w:rPr>
        <w:t>（</w:t>
      </w:r>
      <w:r>
        <w:rPr>
          <w:rFonts w:hint="eastAsia" w:ascii="宋体" w:hAnsi="宋体" w:eastAsia="宋体" w:cs="宋体"/>
          <w:spacing w:val="-72"/>
          <w:sz w:val="28"/>
          <w:szCs w:val="28"/>
        </w:rPr>
        <w:t xml:space="preserve"> </w:t>
      </w:r>
      <w:r>
        <w:rPr>
          <w:rFonts w:hint="eastAsia" w:ascii="宋体" w:hAnsi="宋体" w:eastAsia="宋体" w:cs="宋体"/>
          <w:b/>
          <w:bCs/>
          <w:sz w:val="28"/>
          <w:szCs w:val="28"/>
        </w:rPr>
        <w:t>5）齿轮箱体的监视</w:t>
      </w:r>
    </w:p>
    <w:p w14:paraId="5E8ED772">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监视压缩机的轴振动及轴温，数据异常时报警，压缩机每级都安装有振动及测温探头。如果压缩机转子的振动及温度参数，达到报警值，将发出报警信号；如达到停车值，压缩机的主电机自动停机。</w:t>
      </w:r>
    </w:p>
    <w:p w14:paraId="53C6CC8C">
      <w:pPr>
        <w:pStyle w:val="3"/>
        <w:spacing w:before="219" w:line="438" w:lineRule="exact"/>
        <w:ind w:left="2491"/>
        <w:outlineLvl w:val="0"/>
        <w:rPr>
          <w:rFonts w:hint="eastAsia" w:ascii="宋体" w:hAnsi="宋体" w:eastAsia="宋体" w:cs="宋体"/>
          <w:sz w:val="28"/>
          <w:szCs w:val="28"/>
        </w:rPr>
      </w:pPr>
      <w:bookmarkStart w:id="62" w:name="bookmark46"/>
      <w:bookmarkEnd w:id="62"/>
      <w:bookmarkStart w:id="63" w:name="bookmark45"/>
      <w:bookmarkEnd w:id="63"/>
      <w:bookmarkStart w:id="64" w:name="bookmark57"/>
      <w:bookmarkEnd w:id="64"/>
      <w:bookmarkStart w:id="65" w:name="_Toc4868"/>
      <w:r>
        <w:rPr>
          <w:rFonts w:hint="eastAsia" w:ascii="宋体" w:hAnsi="宋体" w:eastAsia="宋体" w:cs="宋体"/>
          <w:b/>
          <w:bCs/>
          <w:spacing w:val="5"/>
          <w:position w:val="2"/>
          <w:sz w:val="28"/>
          <w:szCs w:val="28"/>
        </w:rPr>
        <w:t>第</w:t>
      </w:r>
      <w:r>
        <w:rPr>
          <w:rFonts w:hint="eastAsia" w:ascii="宋体" w:hAnsi="宋体" w:eastAsia="宋体" w:cs="宋体"/>
          <w:b/>
          <w:bCs/>
          <w:spacing w:val="5"/>
          <w:position w:val="2"/>
          <w:sz w:val="28"/>
          <w:szCs w:val="28"/>
          <w:lang w:val="en-US" w:eastAsia="zh-CN"/>
        </w:rPr>
        <w:t>4</w:t>
      </w:r>
      <w:r>
        <w:rPr>
          <w:rFonts w:hint="eastAsia" w:ascii="宋体" w:hAnsi="宋体" w:eastAsia="宋体" w:cs="宋体"/>
          <w:b/>
          <w:bCs/>
          <w:spacing w:val="5"/>
          <w:position w:val="2"/>
          <w:sz w:val="28"/>
          <w:szCs w:val="28"/>
        </w:rPr>
        <w:t>章</w:t>
      </w:r>
      <w:r>
        <w:rPr>
          <w:rFonts w:hint="eastAsia" w:ascii="宋体" w:hAnsi="宋体" w:eastAsia="宋体" w:cs="宋体"/>
          <w:spacing w:val="5"/>
          <w:position w:val="2"/>
          <w:sz w:val="28"/>
          <w:szCs w:val="28"/>
        </w:rPr>
        <w:t xml:space="preserve">  </w:t>
      </w:r>
      <w:r>
        <w:rPr>
          <w:rFonts w:hint="eastAsia" w:ascii="宋体" w:hAnsi="宋体" w:eastAsia="宋体" w:cs="宋体"/>
          <w:b/>
          <w:bCs/>
          <w:spacing w:val="5"/>
          <w:position w:val="2"/>
          <w:sz w:val="28"/>
          <w:szCs w:val="28"/>
        </w:rPr>
        <w:t>双方职责</w:t>
      </w:r>
      <w:bookmarkEnd w:id="65"/>
    </w:p>
    <w:p w14:paraId="57E6CE0D">
      <w:pPr>
        <w:spacing w:line="351" w:lineRule="auto"/>
        <w:rPr>
          <w:rFonts w:hint="eastAsia" w:ascii="宋体" w:hAnsi="宋体" w:eastAsia="宋体" w:cs="宋体"/>
          <w:sz w:val="28"/>
          <w:szCs w:val="28"/>
        </w:rPr>
      </w:pPr>
      <w:bookmarkStart w:id="66" w:name="bookmark72"/>
      <w:bookmarkEnd w:id="66"/>
      <w:bookmarkStart w:id="67" w:name="bookmark74"/>
      <w:bookmarkEnd w:id="67"/>
      <w:bookmarkStart w:id="68" w:name="bookmark71"/>
      <w:bookmarkEnd w:id="68"/>
      <w:bookmarkStart w:id="69" w:name="bookmark70"/>
      <w:bookmarkEnd w:id="69"/>
    </w:p>
    <w:p w14:paraId="61E4B04D">
      <w:pPr>
        <w:spacing w:before="101" w:line="228" w:lineRule="auto"/>
        <w:ind w:left="668"/>
        <w:outlineLvl w:val="1"/>
        <w:rPr>
          <w:rFonts w:hint="eastAsia" w:ascii="宋体" w:hAnsi="宋体" w:eastAsia="宋体" w:cs="宋体"/>
          <w:sz w:val="28"/>
          <w:szCs w:val="28"/>
        </w:rPr>
      </w:pPr>
      <w:bookmarkStart w:id="70" w:name="_Toc30720"/>
      <w:r>
        <w:rPr>
          <w:rFonts w:hint="eastAsia" w:ascii="宋体" w:hAnsi="宋体" w:eastAsia="宋体" w:cs="宋体"/>
          <w:b/>
          <w:bCs/>
          <w:spacing w:val="-1"/>
          <w:sz w:val="28"/>
          <w:szCs w:val="28"/>
          <w:lang w:val="en-US" w:eastAsia="zh-CN"/>
        </w:rPr>
        <w:t>4</w:t>
      </w:r>
      <w:r>
        <w:rPr>
          <w:rFonts w:hint="eastAsia" w:ascii="宋体" w:hAnsi="宋体" w:eastAsia="宋体" w:cs="宋体"/>
          <w:b/>
          <w:bCs/>
          <w:spacing w:val="-1"/>
          <w:sz w:val="28"/>
          <w:szCs w:val="28"/>
        </w:rPr>
        <w:t>.1</w:t>
      </w:r>
      <w:r>
        <w:rPr>
          <w:rFonts w:hint="eastAsia" w:ascii="宋体" w:hAnsi="宋体" w:eastAsia="宋体" w:cs="宋体"/>
          <w:spacing w:val="71"/>
          <w:sz w:val="28"/>
          <w:szCs w:val="28"/>
        </w:rPr>
        <w:t xml:space="preserve"> </w:t>
      </w:r>
      <w:r>
        <w:rPr>
          <w:rFonts w:hint="eastAsia" w:ascii="宋体" w:hAnsi="宋体" w:eastAsia="宋体" w:cs="宋体"/>
          <w:b/>
          <w:bCs/>
          <w:spacing w:val="-1"/>
          <w:sz w:val="28"/>
          <w:szCs w:val="28"/>
          <w:lang w:eastAsia="zh-CN"/>
        </w:rPr>
        <w:t>招标方</w:t>
      </w:r>
      <w:r>
        <w:rPr>
          <w:rFonts w:hint="eastAsia" w:ascii="宋体" w:hAnsi="宋体" w:eastAsia="宋体" w:cs="宋体"/>
          <w:b/>
          <w:bCs/>
          <w:spacing w:val="-1"/>
          <w:sz w:val="28"/>
          <w:szCs w:val="28"/>
        </w:rPr>
        <w:t>职责</w:t>
      </w:r>
      <w:bookmarkEnd w:id="70"/>
    </w:p>
    <w:p w14:paraId="29E221ED">
      <w:pPr>
        <w:tabs>
          <w:tab w:val="left" w:pos="8609"/>
        </w:tabs>
        <w:spacing w:before="101" w:line="366" w:lineRule="auto"/>
        <w:ind w:left="0" w:leftChars="0" w:firstLine="656" w:firstLineChars="0"/>
        <w:jc w:val="both"/>
        <w:rPr>
          <w:rFonts w:hint="eastAsia" w:ascii="宋体" w:hAnsi="宋体" w:eastAsia="宋体" w:cs="宋体"/>
          <w:strike w:val="0"/>
          <w:dstrike w:val="0"/>
          <w:sz w:val="28"/>
          <w:szCs w:val="28"/>
          <w:lang w:val="en-US" w:eastAsia="zh-CN"/>
        </w:rPr>
      </w:pPr>
      <w:bookmarkStart w:id="71" w:name="bookmark73"/>
      <w:bookmarkEnd w:id="71"/>
      <w:r>
        <w:rPr>
          <w:rFonts w:hint="eastAsia" w:ascii="宋体" w:hAnsi="宋体" w:eastAsia="宋体" w:cs="宋体"/>
          <w:sz w:val="28"/>
          <w:szCs w:val="28"/>
          <w:lang w:val="en-US" w:eastAsia="zh-CN"/>
        </w:rPr>
        <w:t>（1）</w:t>
      </w:r>
      <w:r>
        <w:rPr>
          <w:rFonts w:hint="eastAsia" w:ascii="宋体" w:hAnsi="宋体" w:eastAsia="宋体" w:cs="宋体"/>
          <w:strike w:val="0"/>
          <w:dstrike w:val="0"/>
          <w:sz w:val="28"/>
          <w:szCs w:val="28"/>
          <w:lang w:val="en-US" w:eastAsia="zh-CN"/>
        </w:rPr>
        <w:t>项目所产生政府补贴、奖励、节能减排量及对应 的收益归招标方所有（相关收益转让方式，由招标方确定是否另签协议约定），在申请过程中，投标方应全力配合招标方。</w:t>
      </w:r>
    </w:p>
    <w:p w14:paraId="08A6C3E3">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（2）为确保项目主要部件的质量，主要部件品牌及选型按照本要求文件中要求的采购。</w:t>
      </w:r>
    </w:p>
    <w:p w14:paraId="0305346C">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（3）对投标方在项目建设、合同执行过程中给招标方造成的损失，招标方有权向投标方索赔。</w:t>
      </w:r>
    </w:p>
    <w:p w14:paraId="2DEA4D91">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bookmarkStart w:id="72" w:name="bookmark76"/>
      <w:bookmarkEnd w:id="72"/>
      <w:bookmarkStart w:id="73" w:name="bookmark75"/>
      <w:bookmarkEnd w:id="73"/>
      <w:r>
        <w:rPr>
          <w:rFonts w:hint="eastAsia" w:ascii="宋体" w:hAnsi="宋体" w:eastAsia="宋体" w:cs="宋体"/>
          <w:sz w:val="28"/>
          <w:szCs w:val="28"/>
          <w:lang w:val="en-US" w:eastAsia="zh-CN"/>
        </w:rPr>
        <w:t>（4）协助投标方办理项目建设、运维期间的人员、设备及车辆进出厂区相关手续。</w:t>
      </w:r>
    </w:p>
    <w:p w14:paraId="478FF598">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（5）招标方负责协调解决投标方施工过程中与招标方相关的问题。</w:t>
      </w:r>
    </w:p>
    <w:p w14:paraId="27BE22C2">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（6）招标方负责向投标方提供施工产生的废料等的存放场地，施工倒运及产生的费用由投标方负责。</w:t>
      </w:r>
    </w:p>
    <w:p w14:paraId="1C8CE8AA">
      <w:pPr>
        <w:spacing w:before="64" w:line="228" w:lineRule="auto"/>
        <w:ind w:left="668"/>
        <w:outlineLvl w:val="1"/>
        <w:rPr>
          <w:rFonts w:hint="eastAsia" w:ascii="宋体" w:hAnsi="宋体" w:eastAsia="宋体" w:cs="宋体"/>
          <w:sz w:val="28"/>
          <w:szCs w:val="28"/>
        </w:rPr>
      </w:pPr>
      <w:bookmarkStart w:id="74" w:name="bookmark78"/>
      <w:bookmarkEnd w:id="74"/>
      <w:bookmarkStart w:id="75" w:name="bookmark77"/>
      <w:bookmarkEnd w:id="75"/>
      <w:bookmarkStart w:id="76" w:name="bookmark80"/>
      <w:bookmarkEnd w:id="76"/>
      <w:bookmarkStart w:id="77" w:name="_Toc8690"/>
      <w:r>
        <w:rPr>
          <w:rFonts w:hint="eastAsia" w:ascii="宋体" w:hAnsi="宋体" w:eastAsia="宋体" w:cs="宋体"/>
          <w:b/>
          <w:bCs/>
          <w:sz w:val="28"/>
          <w:szCs w:val="28"/>
          <w:lang w:val="en-US" w:eastAsia="zh-CN"/>
        </w:rPr>
        <w:t>4</w:t>
      </w:r>
      <w:r>
        <w:rPr>
          <w:rFonts w:hint="eastAsia" w:ascii="宋体" w:hAnsi="宋体" w:eastAsia="宋体" w:cs="宋体"/>
          <w:b/>
          <w:bCs/>
          <w:sz w:val="28"/>
          <w:szCs w:val="28"/>
        </w:rPr>
        <w:t>.2</w:t>
      </w:r>
      <w:r>
        <w:rPr>
          <w:rFonts w:hint="eastAsia" w:ascii="宋体" w:hAnsi="宋体" w:eastAsia="宋体" w:cs="宋体"/>
          <w:spacing w:val="60"/>
          <w:sz w:val="28"/>
          <w:szCs w:val="28"/>
        </w:rPr>
        <w:t xml:space="preserve"> </w:t>
      </w:r>
      <w:r>
        <w:rPr>
          <w:rFonts w:hint="eastAsia" w:ascii="宋体" w:hAnsi="宋体" w:eastAsia="宋体" w:cs="宋体"/>
          <w:b/>
          <w:bCs/>
          <w:sz w:val="28"/>
          <w:szCs w:val="28"/>
          <w:lang w:eastAsia="zh-CN"/>
        </w:rPr>
        <w:t>投标方</w:t>
      </w:r>
      <w:r>
        <w:rPr>
          <w:rFonts w:hint="eastAsia" w:ascii="宋体" w:hAnsi="宋体" w:eastAsia="宋体" w:cs="宋体"/>
          <w:b/>
          <w:bCs/>
          <w:sz w:val="28"/>
          <w:szCs w:val="28"/>
        </w:rPr>
        <w:t>职责</w:t>
      </w:r>
      <w:bookmarkEnd w:id="77"/>
    </w:p>
    <w:p w14:paraId="2DA62679">
      <w:pPr>
        <w:spacing w:line="242" w:lineRule="auto"/>
        <w:rPr>
          <w:rFonts w:hint="eastAsia" w:ascii="宋体" w:hAnsi="宋体" w:eastAsia="宋体" w:cs="宋体"/>
          <w:sz w:val="28"/>
          <w:szCs w:val="28"/>
        </w:rPr>
      </w:pPr>
    </w:p>
    <w:p w14:paraId="0B38381A">
      <w:pPr>
        <w:spacing w:before="134" w:line="299" w:lineRule="auto"/>
        <w:ind w:left="35" w:right="14" w:firstLine="645"/>
        <w:rPr>
          <w:rFonts w:hint="eastAsia" w:ascii="宋体" w:hAnsi="宋体" w:eastAsia="宋体" w:cs="宋体"/>
          <w:spacing w:val="12"/>
          <w:sz w:val="28"/>
          <w:szCs w:val="28"/>
          <w:lang w:eastAsia="zh-CN"/>
        </w:rPr>
      </w:pPr>
      <w:bookmarkStart w:id="78" w:name="bookmark79"/>
      <w:bookmarkEnd w:id="78"/>
      <w:r>
        <w:rPr>
          <w:rFonts w:hint="eastAsia" w:ascii="宋体" w:hAnsi="宋体" w:eastAsia="宋体" w:cs="宋体"/>
          <w:sz w:val="28"/>
          <w:szCs w:val="28"/>
          <w:lang w:val="en-US" w:eastAsia="zh-CN"/>
        </w:rPr>
        <w:t>（1）</w:t>
      </w:r>
      <w:r>
        <w:rPr>
          <w:rFonts w:hint="eastAsia" w:ascii="宋体" w:hAnsi="宋体" w:eastAsia="宋体" w:cs="宋体"/>
          <w:spacing w:val="12"/>
          <w:sz w:val="28"/>
          <w:szCs w:val="28"/>
          <w:lang w:eastAsia="zh-CN"/>
        </w:rPr>
        <w:t>投标方必须严格依照要求进行施工，按项目工期进行设备、材料、施工准备，自签订合同之日起</w:t>
      </w:r>
      <w:r>
        <w:rPr>
          <w:rFonts w:hint="eastAsia" w:ascii="宋体" w:hAnsi="宋体" w:eastAsia="宋体" w:cs="宋体"/>
          <w:spacing w:val="12"/>
          <w:sz w:val="28"/>
          <w:szCs w:val="28"/>
          <w:lang w:val="en-US" w:eastAsia="zh-CN"/>
        </w:rPr>
        <w:t>15</w:t>
      </w:r>
      <w:r>
        <w:rPr>
          <w:rFonts w:hint="eastAsia" w:ascii="宋体" w:hAnsi="宋体" w:eastAsia="宋体" w:cs="宋体"/>
          <w:spacing w:val="12"/>
          <w:sz w:val="28"/>
          <w:szCs w:val="28"/>
          <w:lang w:eastAsia="zh-CN"/>
        </w:rPr>
        <w:t>日内，向招标方提交设计和施工进度计划，经招标方认可后，严格按照进度计划组织实施。</w:t>
      </w:r>
    </w:p>
    <w:p w14:paraId="0E9A984D">
      <w:pPr>
        <w:spacing w:before="134" w:line="299" w:lineRule="auto"/>
        <w:ind w:left="35" w:right="14" w:firstLine="645"/>
        <w:rPr>
          <w:rFonts w:hint="eastAsia" w:ascii="宋体" w:hAnsi="宋体" w:eastAsia="宋体" w:cs="宋体"/>
          <w:spacing w:val="12"/>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pacing w:val="12"/>
          <w:sz w:val="28"/>
          <w:szCs w:val="28"/>
          <w:lang w:eastAsia="zh-CN"/>
        </w:rPr>
        <w:t>投标方进厂施工前必须与招标方签订安全协议、五防协议，并向主管部门缴纳保证金。办理安全管控平台的录入等手续，施工过程中严格执行作业票审批制度。施工人员必须经过招标方安全管理部门的安全教育，必须为施工人员投保意外伤害险。严格遵守招标方的厂规厂纪，承担因违规、违纪造成的违规处罚。</w:t>
      </w:r>
    </w:p>
    <w:p w14:paraId="7E642EC9">
      <w:pPr>
        <w:spacing w:before="134" w:line="299" w:lineRule="auto"/>
        <w:ind w:left="35" w:right="14" w:firstLine="645"/>
        <w:rPr>
          <w:rFonts w:hint="eastAsia" w:ascii="宋体" w:hAnsi="宋体" w:eastAsia="宋体" w:cs="宋体"/>
          <w:spacing w:val="12"/>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pacing w:val="12"/>
          <w:sz w:val="28"/>
          <w:szCs w:val="28"/>
          <w:lang w:eastAsia="zh-CN"/>
        </w:rPr>
        <w:t>招标方有权根据工程进度要求投标方无偿增加机械设备及施工人员，实行24小时全天施工。</w:t>
      </w:r>
    </w:p>
    <w:p w14:paraId="3C796B95">
      <w:pPr>
        <w:spacing w:before="134" w:line="299" w:lineRule="auto"/>
        <w:ind w:left="35" w:right="14" w:firstLine="645"/>
        <w:rPr>
          <w:rFonts w:hint="eastAsia" w:ascii="宋体" w:hAnsi="宋体" w:eastAsia="宋体" w:cs="宋体"/>
          <w:spacing w:val="12"/>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pacing w:val="12"/>
          <w:sz w:val="28"/>
          <w:szCs w:val="28"/>
          <w:lang w:eastAsia="zh-CN"/>
        </w:rPr>
        <w:t>工程质量达不到约定标准部分，一经发现，投标方应当拆除重新施工，直到符合约定标准，因此产生的费用由投标方负责，并且工期不予顺延。</w:t>
      </w:r>
    </w:p>
    <w:p w14:paraId="2072FA8D">
      <w:pPr>
        <w:spacing w:before="134" w:line="299" w:lineRule="auto"/>
        <w:ind w:left="35" w:right="14" w:firstLine="645"/>
        <w:rPr>
          <w:rFonts w:hint="eastAsia" w:ascii="宋体" w:hAnsi="宋体" w:eastAsia="宋体" w:cs="宋体"/>
          <w:spacing w:val="12"/>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pacing w:val="12"/>
          <w:sz w:val="28"/>
          <w:szCs w:val="28"/>
          <w:lang w:eastAsia="zh-CN"/>
        </w:rPr>
        <w:t>投标方施工前编制施工方案、安全措施及应急处置措施报招标方审核后方可施工，并严格按照规范要求设置安全防护措施，施工垃圾每日清理出厂，做到工完料净场地清，环保工作必须做到六个100%，否则按招标方相关的管理制度考核。</w:t>
      </w:r>
    </w:p>
    <w:p w14:paraId="2176E2A4">
      <w:pPr>
        <w:spacing w:before="134" w:line="299" w:lineRule="auto"/>
        <w:ind w:left="35" w:right="14" w:firstLine="645"/>
        <w:rPr>
          <w:rFonts w:hint="eastAsia" w:ascii="宋体" w:hAnsi="宋体" w:eastAsia="宋体" w:cs="宋体"/>
          <w:spacing w:val="12"/>
          <w:sz w:val="28"/>
          <w:szCs w:val="28"/>
          <w:lang w:eastAsia="zh-CN"/>
        </w:rPr>
      </w:pPr>
      <w:r>
        <w:rPr>
          <w:rFonts w:hint="eastAsia" w:ascii="宋体" w:hAnsi="宋体" w:eastAsia="宋体" w:cs="宋体"/>
          <w:sz w:val="28"/>
          <w:szCs w:val="28"/>
          <w:lang w:val="en-US" w:eastAsia="zh-CN"/>
        </w:rPr>
        <w:t>（6）</w:t>
      </w:r>
      <w:r>
        <w:rPr>
          <w:rFonts w:hint="eastAsia" w:ascii="宋体" w:hAnsi="宋体" w:eastAsia="宋体" w:cs="宋体"/>
          <w:spacing w:val="12"/>
          <w:sz w:val="28"/>
          <w:szCs w:val="28"/>
          <w:lang w:eastAsia="zh-CN"/>
        </w:rPr>
        <w:t>施工工机具和措施均由投标方负责。</w:t>
      </w:r>
    </w:p>
    <w:p w14:paraId="3B80B9EC">
      <w:pPr>
        <w:spacing w:before="134" w:line="299" w:lineRule="auto"/>
        <w:ind w:left="35" w:right="14" w:firstLine="645"/>
        <w:rPr>
          <w:rFonts w:hint="eastAsia" w:ascii="宋体" w:hAnsi="宋体" w:eastAsia="宋体" w:cs="宋体"/>
          <w:spacing w:val="12"/>
          <w:sz w:val="28"/>
          <w:szCs w:val="28"/>
          <w:lang w:eastAsia="zh-CN"/>
        </w:rPr>
      </w:pPr>
      <w:r>
        <w:rPr>
          <w:rFonts w:hint="eastAsia" w:ascii="宋体" w:hAnsi="宋体" w:eastAsia="宋体" w:cs="宋体"/>
          <w:sz w:val="28"/>
          <w:szCs w:val="28"/>
          <w:lang w:val="en-US" w:eastAsia="zh-CN"/>
        </w:rPr>
        <w:t>（7）</w:t>
      </w:r>
      <w:r>
        <w:rPr>
          <w:rFonts w:hint="eastAsia" w:ascii="宋体" w:hAnsi="宋体" w:eastAsia="宋体" w:cs="宋体"/>
          <w:spacing w:val="12"/>
          <w:sz w:val="28"/>
          <w:szCs w:val="28"/>
          <w:lang w:eastAsia="zh-CN"/>
        </w:rPr>
        <w:t>投标方施工人员必须严格遵守招标方的各项规章制度，并接受监督与考核，服从招标方相关部门的施工管理；杜绝重大人身、安全事故，投标方应配备专职施工安全人员，配齐施工劳动防护用品，做好安全保护。</w:t>
      </w:r>
    </w:p>
    <w:p w14:paraId="260041DB">
      <w:pPr>
        <w:spacing w:before="134" w:line="299" w:lineRule="auto"/>
        <w:ind w:left="35" w:right="14" w:firstLine="645"/>
        <w:rPr>
          <w:rFonts w:hint="eastAsia" w:ascii="宋体" w:hAnsi="宋体" w:eastAsia="宋体" w:cs="宋体"/>
          <w:spacing w:val="12"/>
          <w:sz w:val="28"/>
          <w:szCs w:val="28"/>
          <w:lang w:eastAsia="zh-CN"/>
        </w:rPr>
      </w:pPr>
      <w:r>
        <w:rPr>
          <w:rFonts w:hint="eastAsia" w:ascii="宋体" w:hAnsi="宋体" w:eastAsia="宋体" w:cs="宋体"/>
          <w:sz w:val="28"/>
          <w:szCs w:val="28"/>
          <w:lang w:val="en-US" w:eastAsia="zh-CN"/>
        </w:rPr>
        <w:t>（8）</w:t>
      </w:r>
      <w:r>
        <w:rPr>
          <w:rFonts w:hint="eastAsia" w:ascii="宋体" w:hAnsi="宋体" w:eastAsia="宋体" w:cs="宋体"/>
          <w:spacing w:val="12"/>
          <w:sz w:val="28"/>
          <w:szCs w:val="28"/>
          <w:lang w:eastAsia="zh-CN"/>
        </w:rPr>
        <w:t>投标方负责所属人员在招标方厂区内的人身安全，在施工过程中所造成的一切安全事故、事件由投标方全部负责，由于投标方原因，造成招标方或第三方损害的，投标方须承担赔偿责任，造成招标方垫付的，招标方有权按实际损失向投标方追偿。</w:t>
      </w:r>
    </w:p>
    <w:p w14:paraId="063845D8">
      <w:pPr>
        <w:spacing w:before="134" w:line="299" w:lineRule="auto"/>
        <w:ind w:left="35" w:right="14" w:firstLine="645"/>
        <w:rPr>
          <w:rFonts w:hint="eastAsia" w:ascii="宋体" w:hAnsi="宋体" w:eastAsia="宋体" w:cs="宋体"/>
          <w:spacing w:val="12"/>
          <w:sz w:val="28"/>
          <w:szCs w:val="28"/>
          <w:lang w:eastAsia="zh-CN"/>
        </w:rPr>
      </w:pPr>
      <w:r>
        <w:rPr>
          <w:rFonts w:hint="eastAsia" w:ascii="宋体" w:hAnsi="宋体" w:eastAsia="宋体" w:cs="宋体"/>
          <w:sz w:val="28"/>
          <w:szCs w:val="28"/>
          <w:lang w:val="en-US" w:eastAsia="zh-CN"/>
        </w:rPr>
        <w:t>（9）</w:t>
      </w:r>
      <w:r>
        <w:rPr>
          <w:rFonts w:hint="eastAsia" w:ascii="宋体" w:hAnsi="宋体" w:eastAsia="宋体" w:cs="宋体"/>
          <w:spacing w:val="12"/>
          <w:sz w:val="28"/>
          <w:szCs w:val="28"/>
          <w:lang w:eastAsia="zh-CN"/>
        </w:rPr>
        <w:t>投标方施工应符合当地和国家的环保要求，无条件服从招标方环保、安全管理，施工过程中随时无条件执行由于环保要求、各项专项检查等原因的停止施工，于三天内向招标方书面申请，工期可顺延，逾期不予办理。</w:t>
      </w:r>
    </w:p>
    <w:p w14:paraId="16ADC585">
      <w:pPr>
        <w:spacing w:before="134" w:line="299" w:lineRule="auto"/>
        <w:ind w:left="35" w:right="14" w:firstLine="645"/>
        <w:rPr>
          <w:rFonts w:hint="eastAsia" w:ascii="宋体" w:hAnsi="宋体" w:eastAsia="宋体" w:cs="宋体"/>
          <w:spacing w:val="12"/>
          <w:sz w:val="28"/>
          <w:szCs w:val="28"/>
          <w:lang w:eastAsia="zh-CN"/>
        </w:rPr>
      </w:pPr>
      <w:r>
        <w:rPr>
          <w:rFonts w:hint="eastAsia" w:ascii="宋体" w:hAnsi="宋体" w:eastAsia="宋体" w:cs="宋体"/>
          <w:sz w:val="28"/>
          <w:szCs w:val="28"/>
          <w:lang w:val="en-US" w:eastAsia="zh-CN"/>
        </w:rPr>
        <w:t>（10）</w:t>
      </w:r>
      <w:r>
        <w:rPr>
          <w:rFonts w:hint="eastAsia" w:ascii="宋体" w:hAnsi="宋体" w:eastAsia="宋体" w:cs="宋体"/>
          <w:spacing w:val="12"/>
          <w:sz w:val="28"/>
          <w:szCs w:val="28"/>
          <w:lang w:eastAsia="zh-CN"/>
        </w:rPr>
        <w:t>施工设备、材料投标方负责做好物料管理，临时存放场地及施工现场设立警戒线，施工过程中，由安全员负责指挥现场人员、车辆，注意规避来往车辆，避免发生交通事故。</w:t>
      </w:r>
    </w:p>
    <w:p w14:paraId="0D3104BE">
      <w:pPr>
        <w:spacing w:before="134" w:line="299" w:lineRule="auto"/>
        <w:ind w:left="35" w:right="14" w:firstLine="645"/>
        <w:rPr>
          <w:rFonts w:hint="eastAsia" w:ascii="宋体" w:hAnsi="宋体" w:eastAsia="宋体" w:cs="宋体"/>
          <w:spacing w:val="12"/>
          <w:sz w:val="28"/>
          <w:szCs w:val="28"/>
          <w:lang w:eastAsia="zh-CN"/>
        </w:rPr>
      </w:pPr>
      <w:r>
        <w:rPr>
          <w:rFonts w:hint="eastAsia" w:ascii="宋体" w:hAnsi="宋体" w:eastAsia="宋体" w:cs="宋体"/>
          <w:sz w:val="28"/>
          <w:szCs w:val="28"/>
          <w:lang w:val="en-US" w:eastAsia="zh-CN"/>
        </w:rPr>
        <w:t>（11）</w:t>
      </w:r>
      <w:r>
        <w:rPr>
          <w:rFonts w:hint="eastAsia" w:ascii="宋体" w:hAnsi="宋体" w:eastAsia="宋体" w:cs="宋体"/>
          <w:spacing w:val="12"/>
          <w:sz w:val="28"/>
          <w:szCs w:val="28"/>
          <w:lang w:eastAsia="zh-CN"/>
        </w:rPr>
        <w:t>投标方严格遵照施工规范及招标方要求进行施工，保证施工质量，保证协议工期，圆满完成本项施工任务。</w:t>
      </w:r>
    </w:p>
    <w:p w14:paraId="2280E705">
      <w:pPr>
        <w:spacing w:before="134" w:line="299" w:lineRule="auto"/>
        <w:ind w:left="35" w:right="14" w:firstLine="645"/>
        <w:rPr>
          <w:rFonts w:hint="eastAsia" w:ascii="宋体" w:hAnsi="宋体" w:eastAsia="宋体" w:cs="宋体"/>
          <w:spacing w:val="12"/>
          <w:sz w:val="28"/>
          <w:szCs w:val="28"/>
          <w:lang w:eastAsia="zh-CN"/>
        </w:rPr>
      </w:pPr>
      <w:r>
        <w:rPr>
          <w:rFonts w:hint="eastAsia" w:ascii="宋体" w:hAnsi="宋体" w:eastAsia="宋体" w:cs="宋体"/>
          <w:sz w:val="28"/>
          <w:szCs w:val="28"/>
          <w:lang w:val="en-US" w:eastAsia="zh-CN"/>
        </w:rPr>
        <w:t>（12）</w:t>
      </w:r>
      <w:r>
        <w:rPr>
          <w:rFonts w:hint="eastAsia" w:ascii="宋体" w:hAnsi="宋体" w:eastAsia="宋体" w:cs="宋体"/>
          <w:spacing w:val="12"/>
          <w:sz w:val="28"/>
          <w:szCs w:val="28"/>
          <w:lang w:eastAsia="zh-CN"/>
        </w:rPr>
        <w:t>投标方自觉接受招标方的检查、检验，并为招标方检查提供便利条件，对招标方提出的整改意见，投标方积极整改并回复，创造合格工程。</w:t>
      </w:r>
    </w:p>
    <w:p w14:paraId="53F975C6">
      <w:pPr>
        <w:spacing w:before="134" w:line="299" w:lineRule="auto"/>
        <w:ind w:left="35" w:right="14" w:firstLine="645"/>
        <w:rPr>
          <w:rFonts w:hint="eastAsia" w:ascii="宋体" w:hAnsi="宋体" w:eastAsia="宋体" w:cs="宋体"/>
          <w:spacing w:val="12"/>
          <w:sz w:val="28"/>
          <w:szCs w:val="28"/>
          <w:lang w:eastAsia="zh-CN"/>
        </w:rPr>
      </w:pPr>
      <w:r>
        <w:rPr>
          <w:rFonts w:hint="eastAsia" w:ascii="宋体" w:hAnsi="宋体" w:eastAsia="宋体" w:cs="宋体"/>
          <w:sz w:val="28"/>
          <w:szCs w:val="28"/>
          <w:lang w:val="en-US" w:eastAsia="zh-CN"/>
        </w:rPr>
        <w:t>（13）</w:t>
      </w:r>
      <w:r>
        <w:rPr>
          <w:rFonts w:hint="eastAsia" w:ascii="宋体" w:hAnsi="宋体" w:eastAsia="宋体" w:cs="宋体"/>
          <w:spacing w:val="12"/>
          <w:sz w:val="28"/>
          <w:szCs w:val="28"/>
          <w:lang w:eastAsia="zh-CN"/>
        </w:rPr>
        <w:t>投标方严格按照“德龙模式《工程333管理》”要求组织施工，并建立项目管理档案，并按招标方的要求，将竣工资料交付招标方资料室归档。</w:t>
      </w:r>
    </w:p>
    <w:p w14:paraId="73810E2A">
      <w:pPr>
        <w:spacing w:before="134" w:line="299" w:lineRule="auto"/>
        <w:ind w:left="35" w:right="14" w:firstLine="645"/>
        <w:rPr>
          <w:rFonts w:hint="eastAsia" w:ascii="宋体" w:hAnsi="宋体" w:eastAsia="宋体" w:cs="宋体"/>
          <w:spacing w:val="12"/>
          <w:sz w:val="28"/>
          <w:szCs w:val="28"/>
          <w:lang w:eastAsia="zh-CN"/>
        </w:rPr>
      </w:pPr>
      <w:r>
        <w:rPr>
          <w:rFonts w:hint="eastAsia" w:ascii="宋体" w:hAnsi="宋体" w:eastAsia="宋体" w:cs="宋体"/>
          <w:sz w:val="28"/>
          <w:szCs w:val="28"/>
          <w:lang w:val="en-US" w:eastAsia="zh-CN"/>
        </w:rPr>
        <w:t>（14）</w:t>
      </w:r>
      <w:r>
        <w:rPr>
          <w:rFonts w:hint="eastAsia" w:ascii="宋体" w:hAnsi="宋体" w:eastAsia="宋体" w:cs="宋体"/>
          <w:spacing w:val="12"/>
          <w:sz w:val="28"/>
          <w:szCs w:val="28"/>
          <w:lang w:eastAsia="zh-CN"/>
        </w:rPr>
        <w:t xml:space="preserve">所有进厂材料、工器具无论是否使用必须进行登记，无进厂物资登记不予办理出厂手续。 </w:t>
      </w:r>
    </w:p>
    <w:p w14:paraId="708AD4AF">
      <w:pPr>
        <w:spacing w:before="134" w:line="299" w:lineRule="auto"/>
        <w:ind w:left="35" w:right="14" w:firstLine="645"/>
        <w:rPr>
          <w:rFonts w:hint="eastAsia" w:ascii="宋体" w:hAnsi="宋体" w:eastAsia="宋体" w:cs="宋体"/>
          <w:spacing w:val="12"/>
          <w:sz w:val="28"/>
          <w:szCs w:val="28"/>
          <w:lang w:eastAsia="zh-CN"/>
        </w:rPr>
      </w:pPr>
      <w:r>
        <w:rPr>
          <w:rFonts w:hint="eastAsia" w:ascii="宋体" w:hAnsi="宋体" w:eastAsia="宋体" w:cs="宋体"/>
          <w:sz w:val="28"/>
          <w:szCs w:val="28"/>
          <w:lang w:val="en-US" w:eastAsia="zh-CN"/>
        </w:rPr>
        <w:t>（15）</w:t>
      </w:r>
      <w:r>
        <w:rPr>
          <w:rFonts w:hint="eastAsia" w:ascii="宋体" w:hAnsi="宋体" w:eastAsia="宋体" w:cs="宋体"/>
          <w:spacing w:val="12"/>
          <w:sz w:val="28"/>
          <w:szCs w:val="28"/>
          <w:lang w:eastAsia="zh-CN"/>
        </w:rPr>
        <w:t>投标方遵守招标方对施工现场的交通和施工噪音的管理规定，负责施工材料、设备的安全、保卫工作。</w:t>
      </w:r>
    </w:p>
    <w:p w14:paraId="2575EA90">
      <w:pPr>
        <w:spacing w:before="134" w:line="299" w:lineRule="auto"/>
        <w:ind w:left="35" w:right="14" w:firstLine="645"/>
        <w:rPr>
          <w:rFonts w:hint="eastAsia" w:ascii="宋体" w:hAnsi="宋体" w:eastAsia="宋体" w:cs="宋体"/>
          <w:spacing w:val="12"/>
          <w:sz w:val="28"/>
          <w:szCs w:val="28"/>
          <w:lang w:eastAsia="zh-CN"/>
        </w:rPr>
      </w:pPr>
      <w:r>
        <w:rPr>
          <w:rFonts w:hint="eastAsia" w:ascii="宋体" w:hAnsi="宋体" w:eastAsia="宋体" w:cs="宋体"/>
          <w:sz w:val="28"/>
          <w:szCs w:val="28"/>
          <w:lang w:val="en-US" w:eastAsia="zh-CN"/>
        </w:rPr>
        <w:t>（16）</w:t>
      </w:r>
      <w:r>
        <w:rPr>
          <w:rFonts w:hint="eastAsia" w:ascii="宋体" w:hAnsi="宋体" w:eastAsia="宋体" w:cs="宋体"/>
          <w:spacing w:val="12"/>
          <w:sz w:val="28"/>
          <w:szCs w:val="28"/>
          <w:lang w:eastAsia="zh-CN"/>
        </w:rPr>
        <w:t>投标方使用的工程车辆必须是国六标准车辆，进厂时需提供随车环保清单和行驶证。</w:t>
      </w:r>
    </w:p>
    <w:p w14:paraId="75435FE9">
      <w:pPr>
        <w:spacing w:before="134" w:line="299" w:lineRule="auto"/>
        <w:ind w:left="35" w:right="14" w:firstLine="645"/>
        <w:rPr>
          <w:rFonts w:hint="eastAsia" w:ascii="宋体" w:hAnsi="宋体" w:eastAsia="宋体" w:cs="宋体"/>
          <w:spacing w:val="12"/>
          <w:sz w:val="28"/>
          <w:szCs w:val="28"/>
          <w:lang w:eastAsia="zh-CN"/>
        </w:rPr>
      </w:pPr>
      <w:r>
        <w:rPr>
          <w:rFonts w:hint="eastAsia" w:ascii="宋体" w:hAnsi="宋体" w:eastAsia="宋体" w:cs="宋体"/>
          <w:sz w:val="28"/>
          <w:szCs w:val="28"/>
          <w:lang w:val="en-US" w:eastAsia="zh-CN"/>
        </w:rPr>
        <w:t>（17）</w:t>
      </w:r>
      <w:r>
        <w:rPr>
          <w:rFonts w:hint="eastAsia" w:ascii="宋体" w:hAnsi="宋体" w:eastAsia="宋体" w:cs="宋体"/>
          <w:spacing w:val="12"/>
          <w:sz w:val="28"/>
          <w:szCs w:val="28"/>
          <w:lang w:eastAsia="zh-CN"/>
        </w:rPr>
        <w:t>投标方对所承担的工程不得转包和违法分包。</w:t>
      </w:r>
    </w:p>
    <w:p w14:paraId="6A69F5D5">
      <w:pPr>
        <w:spacing w:before="134" w:line="299" w:lineRule="auto"/>
        <w:ind w:left="35" w:right="14" w:firstLine="645"/>
        <w:rPr>
          <w:rFonts w:hint="eastAsia" w:ascii="宋体" w:hAnsi="宋体" w:eastAsia="宋体" w:cs="宋体"/>
          <w:spacing w:val="12"/>
          <w:sz w:val="28"/>
          <w:szCs w:val="28"/>
          <w:lang w:eastAsia="zh-CN"/>
        </w:rPr>
      </w:pPr>
      <w:r>
        <w:rPr>
          <w:rFonts w:hint="eastAsia" w:ascii="宋体" w:hAnsi="宋体" w:eastAsia="宋体" w:cs="宋体"/>
          <w:sz w:val="28"/>
          <w:szCs w:val="28"/>
          <w:lang w:val="en-US" w:eastAsia="zh-CN"/>
        </w:rPr>
        <w:t>（18）</w:t>
      </w:r>
      <w:r>
        <w:rPr>
          <w:rFonts w:hint="eastAsia" w:ascii="宋体" w:hAnsi="宋体" w:eastAsia="宋体" w:cs="宋体"/>
          <w:spacing w:val="12"/>
          <w:sz w:val="28"/>
          <w:szCs w:val="28"/>
          <w:lang w:eastAsia="zh-CN"/>
        </w:rPr>
        <w:t>投标方施工应合理组织，不得影响正常的生产工作。</w:t>
      </w:r>
    </w:p>
    <w:p w14:paraId="6DB4B639">
      <w:pPr>
        <w:spacing w:before="134" w:line="299" w:lineRule="auto"/>
        <w:ind w:left="35" w:right="14" w:firstLine="645"/>
        <w:rPr>
          <w:rFonts w:hint="eastAsia" w:ascii="宋体" w:hAnsi="宋体" w:eastAsia="宋体" w:cs="宋体"/>
          <w:spacing w:val="12"/>
          <w:sz w:val="28"/>
          <w:szCs w:val="28"/>
          <w:lang w:eastAsia="zh-CN"/>
        </w:rPr>
      </w:pPr>
      <w:r>
        <w:rPr>
          <w:rFonts w:hint="eastAsia" w:ascii="宋体" w:hAnsi="宋体" w:eastAsia="宋体" w:cs="宋体"/>
          <w:sz w:val="28"/>
          <w:szCs w:val="28"/>
          <w:lang w:val="en-US" w:eastAsia="zh-CN"/>
        </w:rPr>
        <w:t>（19）</w:t>
      </w:r>
      <w:r>
        <w:rPr>
          <w:rFonts w:hint="eastAsia" w:ascii="宋体" w:hAnsi="宋体" w:eastAsia="宋体" w:cs="宋体"/>
          <w:spacing w:val="12"/>
          <w:sz w:val="28"/>
          <w:szCs w:val="28"/>
          <w:lang w:eastAsia="zh-CN"/>
        </w:rPr>
        <w:t>投标方负责施工场地内所需占用绿化区域绿植、树木的保护，若有损坏负责恢复。</w:t>
      </w:r>
    </w:p>
    <w:p w14:paraId="2667FB7E">
      <w:pPr>
        <w:spacing w:before="134" w:line="299" w:lineRule="auto"/>
        <w:ind w:left="35" w:right="14" w:firstLine="645"/>
        <w:rPr>
          <w:rFonts w:hint="eastAsia" w:ascii="宋体" w:hAnsi="宋体" w:eastAsia="宋体" w:cs="宋体"/>
          <w:spacing w:val="12"/>
          <w:sz w:val="28"/>
          <w:szCs w:val="28"/>
          <w:lang w:eastAsia="zh-CN"/>
        </w:rPr>
      </w:pPr>
      <w:r>
        <w:rPr>
          <w:rFonts w:hint="eastAsia" w:ascii="宋体" w:hAnsi="宋体" w:eastAsia="宋体" w:cs="宋体"/>
          <w:sz w:val="28"/>
          <w:szCs w:val="28"/>
          <w:lang w:val="en-US" w:eastAsia="zh-CN"/>
        </w:rPr>
        <w:t>（20）</w:t>
      </w:r>
      <w:r>
        <w:rPr>
          <w:rFonts w:hint="eastAsia" w:ascii="宋体" w:hAnsi="宋体" w:eastAsia="宋体" w:cs="宋体"/>
          <w:spacing w:val="12"/>
          <w:sz w:val="28"/>
          <w:szCs w:val="28"/>
          <w:lang w:eastAsia="zh-CN"/>
        </w:rPr>
        <w:t>投标方应建立现场安全管理网络和组织机构，明确现场安全责任人和安全员。</w:t>
      </w:r>
    </w:p>
    <w:p w14:paraId="02D96D58">
      <w:pPr>
        <w:spacing w:before="134" w:line="299" w:lineRule="auto"/>
        <w:ind w:left="35" w:right="14"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w:t>
      </w:r>
      <w:r>
        <w:rPr>
          <w:rFonts w:hint="eastAsia" w:ascii="宋体" w:hAnsi="宋体" w:eastAsia="宋体" w:cs="宋体"/>
          <w:spacing w:val="12"/>
          <w:sz w:val="28"/>
          <w:szCs w:val="28"/>
          <w:lang w:eastAsia="zh-CN"/>
        </w:rPr>
        <w:t>投标方进厂施工人员应依法持证上岗，涉及本次施工人员应依法取得高空作业证、电工操作证等证书。</w:t>
      </w:r>
      <w:r>
        <w:rPr>
          <w:rFonts w:hint="eastAsia" w:ascii="宋体" w:hAnsi="宋体" w:eastAsia="宋体" w:cs="宋体"/>
          <w:spacing w:val="8"/>
          <w:sz w:val="28"/>
          <w:szCs w:val="28"/>
        </w:rPr>
        <w:t>。</w:t>
      </w:r>
    </w:p>
    <w:p w14:paraId="1B898EB1">
      <w:pPr>
        <w:spacing w:before="134" w:line="299" w:lineRule="auto"/>
        <w:ind w:left="35" w:right="14"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（22）发生紧急情况或设备设施运行出现故障时，投标方应及时完成相关维护维修工作，如遇特殊情况需要停电的， 应做好应急预案和工作安排，并按照招标方的停送电制度，落实停送电措施。</w:t>
      </w:r>
    </w:p>
    <w:p w14:paraId="1548C2EE">
      <w:pPr>
        <w:spacing w:before="134" w:line="299" w:lineRule="auto"/>
        <w:ind w:left="35" w:right="14"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（23）投标方在进行项目设计、建设、运维等与本项目相关的工作时，应选派具有相应资质的人员，不得使用不满 18 周岁的未成年工及男性 60 周岁(女性 50 周岁）以上老年工且不得安排男性 55 周岁(女性 45 周岁）以上老年工从事高危险性、高风险性工作，并确保相应的工器具配置及使用合法合规。涉及到安全、施工、消防等专业时，需与招标方专业人员沟通。</w:t>
      </w:r>
    </w:p>
    <w:p w14:paraId="7ED22E98">
      <w:pPr>
        <w:spacing w:before="134" w:line="299" w:lineRule="auto"/>
        <w:ind w:left="35" w:right="14"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（24）与本项目相关的所有质量控制文件（含产品质量 说明书、报批报验、计量检验以及过程施工资料等），需报 送给招标方一份纸板，具有效力的电子版文件一份。与本项目相关的程序控制文件，需报送给招标方一份，并做好对招标方人员的培训，确保合同能源管理期后，招标方可以独立运行。</w:t>
      </w:r>
    </w:p>
    <w:p w14:paraId="5ABA7EB6">
      <w:pPr>
        <w:pStyle w:val="3"/>
        <w:spacing w:before="219" w:line="438" w:lineRule="exact"/>
        <w:ind w:left="2491"/>
        <w:outlineLvl w:val="0"/>
        <w:rPr>
          <w:rFonts w:hint="eastAsia" w:ascii="宋体" w:hAnsi="宋体" w:eastAsia="宋体" w:cs="宋体"/>
          <w:sz w:val="28"/>
          <w:szCs w:val="28"/>
        </w:rPr>
      </w:pPr>
      <w:bookmarkStart w:id="79" w:name="_Toc19295"/>
      <w:r>
        <w:rPr>
          <w:rFonts w:hint="eastAsia" w:ascii="宋体" w:hAnsi="宋体" w:eastAsia="宋体" w:cs="宋体"/>
          <w:b/>
          <w:bCs/>
          <w:spacing w:val="5"/>
          <w:position w:val="2"/>
          <w:sz w:val="28"/>
          <w:szCs w:val="28"/>
        </w:rPr>
        <w:t>第</w:t>
      </w:r>
      <w:r>
        <w:rPr>
          <w:rFonts w:hint="eastAsia" w:ascii="宋体" w:hAnsi="宋体" w:eastAsia="宋体" w:cs="宋体"/>
          <w:b/>
          <w:bCs/>
          <w:spacing w:val="5"/>
          <w:position w:val="2"/>
          <w:sz w:val="28"/>
          <w:szCs w:val="28"/>
          <w:lang w:val="en-US" w:eastAsia="zh-CN"/>
        </w:rPr>
        <w:t>5</w:t>
      </w:r>
      <w:r>
        <w:rPr>
          <w:rFonts w:hint="eastAsia" w:ascii="宋体" w:hAnsi="宋体" w:eastAsia="宋体" w:cs="宋体"/>
          <w:b/>
          <w:bCs/>
          <w:spacing w:val="5"/>
          <w:position w:val="2"/>
          <w:sz w:val="28"/>
          <w:szCs w:val="28"/>
        </w:rPr>
        <w:t>章</w:t>
      </w:r>
      <w:r>
        <w:rPr>
          <w:rFonts w:hint="eastAsia" w:ascii="宋体" w:hAnsi="宋体" w:eastAsia="宋体" w:cs="宋体"/>
          <w:spacing w:val="5"/>
          <w:position w:val="2"/>
          <w:sz w:val="28"/>
          <w:szCs w:val="28"/>
        </w:rPr>
        <w:t xml:space="preserve">  </w:t>
      </w:r>
      <w:r>
        <w:rPr>
          <w:rFonts w:hint="eastAsia" w:ascii="宋体" w:hAnsi="宋体" w:eastAsia="宋体" w:cs="宋体"/>
          <w:b/>
          <w:bCs/>
          <w:spacing w:val="5"/>
          <w:position w:val="2"/>
          <w:sz w:val="28"/>
          <w:szCs w:val="28"/>
        </w:rPr>
        <w:t>安全文明施工</w:t>
      </w:r>
      <w:bookmarkEnd w:id="79"/>
    </w:p>
    <w:p w14:paraId="49BC4D5C">
      <w:pPr>
        <w:spacing w:before="134" w:line="299" w:lineRule="auto"/>
        <w:ind w:left="35" w:right="14"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1、所有进场施工人员必须经过动力厂安全科的安全教育，认真学习联合特钢公司各项管理规定并认真遵守。</w:t>
      </w:r>
    </w:p>
    <w:p w14:paraId="0B320BC7">
      <w:pPr>
        <w:spacing w:before="134" w:line="299" w:lineRule="auto"/>
        <w:ind w:left="35" w:right="14"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2、施工现场拉警戒线，施工过程中，由安全员负责指挥现场人员、车辆，注意规避来往车辆，避免发生交通事故。</w:t>
      </w:r>
    </w:p>
    <w:p w14:paraId="45EE63C5">
      <w:pPr>
        <w:spacing w:before="134" w:line="299" w:lineRule="auto"/>
        <w:ind w:left="35" w:right="14"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3、现场临时用电，必须按规定开具临时用电票据，由专业电工进行操作，并随身携带有效的操作证备查。</w:t>
      </w:r>
    </w:p>
    <w:p w14:paraId="5A6A37F8">
      <w:pPr>
        <w:spacing w:before="134" w:line="299" w:lineRule="auto"/>
        <w:ind w:left="35" w:right="14"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4、接受动力厂及工程部门的检查、检验，对招标方提出的整改意见，积极整改并回复，创造合格工程。</w:t>
      </w:r>
    </w:p>
    <w:p w14:paraId="0FE1D498">
      <w:pPr>
        <w:rPr>
          <w:rFonts w:hint="eastAsia" w:ascii="宋体" w:hAnsi="宋体" w:eastAsia="宋体" w:cs="宋体"/>
          <w:sz w:val="28"/>
          <w:szCs w:val="28"/>
          <w:lang w:val="en-US" w:eastAsia="zh-CN"/>
        </w:rPr>
      </w:pPr>
    </w:p>
    <w:p w14:paraId="0D1FE81F">
      <w:pPr>
        <w:pStyle w:val="3"/>
        <w:spacing w:before="219" w:line="438" w:lineRule="exact"/>
        <w:ind w:left="2491"/>
        <w:outlineLvl w:val="0"/>
        <w:rPr>
          <w:rFonts w:hint="eastAsia" w:ascii="宋体" w:hAnsi="宋体" w:eastAsia="宋体" w:cs="宋体"/>
          <w:sz w:val="28"/>
          <w:szCs w:val="28"/>
        </w:rPr>
      </w:pPr>
      <w:bookmarkStart w:id="80" w:name="_Toc890"/>
      <w:r>
        <w:rPr>
          <w:rFonts w:hint="eastAsia" w:ascii="宋体" w:hAnsi="宋体" w:eastAsia="宋体" w:cs="宋体"/>
          <w:b/>
          <w:bCs/>
          <w:spacing w:val="5"/>
          <w:position w:val="2"/>
          <w:sz w:val="28"/>
          <w:szCs w:val="28"/>
        </w:rPr>
        <w:t>第</w:t>
      </w:r>
      <w:r>
        <w:rPr>
          <w:rFonts w:hint="eastAsia" w:ascii="宋体" w:hAnsi="宋体" w:eastAsia="宋体" w:cs="宋体"/>
          <w:b/>
          <w:bCs/>
          <w:spacing w:val="5"/>
          <w:position w:val="2"/>
          <w:sz w:val="28"/>
          <w:szCs w:val="28"/>
          <w:lang w:val="en-US" w:eastAsia="zh-CN"/>
        </w:rPr>
        <w:t>6</w:t>
      </w:r>
      <w:r>
        <w:rPr>
          <w:rFonts w:hint="eastAsia" w:ascii="宋体" w:hAnsi="宋体" w:eastAsia="宋体" w:cs="宋体"/>
          <w:b/>
          <w:bCs/>
          <w:spacing w:val="5"/>
          <w:position w:val="2"/>
          <w:sz w:val="28"/>
          <w:szCs w:val="28"/>
        </w:rPr>
        <w:t>章</w:t>
      </w:r>
      <w:r>
        <w:rPr>
          <w:rFonts w:hint="eastAsia" w:ascii="宋体" w:hAnsi="宋体" w:eastAsia="宋体" w:cs="宋体"/>
          <w:spacing w:val="5"/>
          <w:position w:val="2"/>
          <w:sz w:val="28"/>
          <w:szCs w:val="28"/>
        </w:rPr>
        <w:t xml:space="preserve">  </w:t>
      </w:r>
      <w:r>
        <w:rPr>
          <w:rFonts w:hint="eastAsia" w:ascii="宋体" w:hAnsi="宋体" w:eastAsia="宋体" w:cs="宋体"/>
          <w:b/>
          <w:bCs/>
          <w:spacing w:val="5"/>
          <w:position w:val="2"/>
          <w:sz w:val="28"/>
          <w:szCs w:val="28"/>
        </w:rPr>
        <w:t>工程质量与验收</w:t>
      </w:r>
      <w:bookmarkEnd w:id="80"/>
    </w:p>
    <w:p w14:paraId="09EC3DC9">
      <w:pPr>
        <w:spacing w:before="134" w:line="299" w:lineRule="auto"/>
        <w:ind w:left="35" w:right="14"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1、工程竣工验收：工程完工后，投标方首先自查、自检，确认工程质量符合技术要求约定，然后以书面形式报招标方有关部门组织验收，验收合格后及时办理验收结算手续。</w:t>
      </w:r>
    </w:p>
    <w:p w14:paraId="712F3B65">
      <w:pPr>
        <w:spacing w:before="134" w:line="299" w:lineRule="auto"/>
        <w:ind w:left="35" w:right="14"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2、隐蔽工程：隐蔽工程在施工前投标方必须做好书面记录，提前以书面形式通知招标方，招标方在接到投标方书面通知后组织相关人员到现场验收。</w:t>
      </w:r>
    </w:p>
    <w:p w14:paraId="7AA2DE02">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改造后，实现空压站设备的高效运行，降低电耗，提高能源利用效率，同时提升设备运行的稳定性和可靠性，实现空压系统综合电耗，月度平均值≤0.105kWh/m³。如月度平均值＞0.105kWh/m³投标方进行整改，整改期限不能超过三个月，整改费用由投标方承担。如整改超过三个月仍未达标，招标方有权要求投标方在不影响招标方正常生产的情况下，免费恢复招标方设备原状。</w:t>
      </w:r>
    </w:p>
    <w:p w14:paraId="58E2B775">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bookmarkStart w:id="81" w:name="bookmark49"/>
      <w:bookmarkEnd w:id="81"/>
      <w:bookmarkStart w:id="82" w:name="bookmark50"/>
      <w:bookmarkEnd w:id="82"/>
      <w:r>
        <w:rPr>
          <w:rFonts w:hint="eastAsia" w:ascii="宋体" w:hAnsi="宋体" w:eastAsia="宋体" w:cs="宋体"/>
          <w:sz w:val="28"/>
          <w:szCs w:val="28"/>
          <w:lang w:val="en-US" w:eastAsia="zh-CN"/>
        </w:rPr>
        <w:t>4、投标方提供的空压机、干燥机需要达到既定的设计能力，产气量、干燥气量、露点指标、无油指标以及过滤精度等均满足本合同的约定以及技术质量要求，且空压机运行过程中，振动、温度等无超限情况，保护功能可以正常投入。</w:t>
      </w:r>
    </w:p>
    <w:p w14:paraId="249BD49C">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bookmarkStart w:id="83" w:name="bookmark51"/>
      <w:bookmarkEnd w:id="83"/>
      <w:bookmarkStart w:id="84" w:name="bookmark55"/>
      <w:bookmarkEnd w:id="84"/>
      <w:bookmarkStart w:id="85" w:name="bookmark52"/>
      <w:bookmarkEnd w:id="85"/>
      <w:bookmarkStart w:id="86" w:name="bookmark56"/>
      <w:bookmarkEnd w:id="86"/>
      <w:r>
        <w:rPr>
          <w:rFonts w:hint="eastAsia" w:ascii="宋体" w:hAnsi="宋体" w:eastAsia="宋体" w:cs="宋体"/>
          <w:sz w:val="28"/>
          <w:szCs w:val="28"/>
          <w:lang w:val="en-US" w:eastAsia="zh-CN"/>
        </w:rPr>
        <w:t>5、投标方所提供的产品必须符合以下要求：（ 1 ）国家标准；（2）有关部门制定的相关技术规范及行业标准；（3 ）符合招标方要求的规格、型号、技术参数、图纸及附件、其他文件 （ 以合同正文、附件的描述为准）；（4）符合产品说明书等投标方技术资料表明的质量要求。</w:t>
      </w:r>
    </w:p>
    <w:p w14:paraId="114F272D">
      <w:pPr>
        <w:tabs>
          <w:tab w:val="left" w:pos="8609"/>
        </w:tabs>
        <w:spacing w:before="101" w:line="366" w:lineRule="auto"/>
        <w:ind w:left="0" w:leftChars="0" w:firstLine="656"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6、本项目中，如设备需与其它设备、装置相连接的，投标方须提供接口和技术配合，并保证所提供的设备能与其他设备、装置相兼容并顺利运行。</w:t>
      </w:r>
    </w:p>
    <w:p w14:paraId="77BFD236">
      <w:pPr>
        <w:spacing w:before="134" w:line="299" w:lineRule="auto"/>
        <w:ind w:left="35" w:right="14"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7、本项目建成后取得一级能效空压站挂牌认证。</w:t>
      </w:r>
    </w:p>
    <w:p w14:paraId="4E0A26BC">
      <w:pPr>
        <w:spacing w:before="134" w:line="299" w:lineRule="auto"/>
        <w:ind w:left="35" w:right="14" w:firstLine="645"/>
        <w:rPr>
          <w:rFonts w:hint="eastAsia" w:ascii="宋体" w:hAnsi="宋体" w:eastAsia="宋体" w:cs="宋体"/>
          <w:sz w:val="28"/>
          <w:szCs w:val="28"/>
          <w:lang w:val="en-US" w:eastAsia="zh-CN"/>
        </w:rPr>
      </w:pPr>
    </w:p>
    <w:p w14:paraId="2D3AFBC5">
      <w:pPr>
        <w:spacing w:before="134" w:line="299" w:lineRule="auto"/>
        <w:ind w:left="35" w:right="14" w:firstLine="645"/>
        <w:rPr>
          <w:rFonts w:hint="eastAsia" w:ascii="宋体" w:hAnsi="宋体" w:eastAsia="宋体" w:cs="宋体"/>
          <w:sz w:val="28"/>
          <w:szCs w:val="28"/>
          <w:lang w:val="en-US" w:eastAsia="zh-CN"/>
        </w:rPr>
      </w:pPr>
    </w:p>
    <w:sectPr>
      <w:pgSz w:w="11906" w:h="16839"/>
      <w:pgMar w:top="1431" w:right="1785" w:bottom="1152" w:left="1365" w:header="0" w:footer="987"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E61380"/>
    <w:rsid w:val="010827C0"/>
    <w:rsid w:val="01404BF0"/>
    <w:rsid w:val="019E5969"/>
    <w:rsid w:val="01C77D54"/>
    <w:rsid w:val="04737A9F"/>
    <w:rsid w:val="053C512E"/>
    <w:rsid w:val="066C6FCD"/>
    <w:rsid w:val="07B2792A"/>
    <w:rsid w:val="087D1715"/>
    <w:rsid w:val="098F36CB"/>
    <w:rsid w:val="09B84C5E"/>
    <w:rsid w:val="0A1A3D63"/>
    <w:rsid w:val="0A923284"/>
    <w:rsid w:val="0BE84739"/>
    <w:rsid w:val="0C996031"/>
    <w:rsid w:val="0DFC6867"/>
    <w:rsid w:val="0E17302F"/>
    <w:rsid w:val="0E6245AB"/>
    <w:rsid w:val="10314C30"/>
    <w:rsid w:val="115C1F4F"/>
    <w:rsid w:val="11BB1AD0"/>
    <w:rsid w:val="11C237FB"/>
    <w:rsid w:val="12703902"/>
    <w:rsid w:val="12977E48"/>
    <w:rsid w:val="13467D80"/>
    <w:rsid w:val="14DF4B45"/>
    <w:rsid w:val="15151529"/>
    <w:rsid w:val="151A1B4E"/>
    <w:rsid w:val="176A6374"/>
    <w:rsid w:val="184473E5"/>
    <w:rsid w:val="1867549B"/>
    <w:rsid w:val="18DD55B5"/>
    <w:rsid w:val="19E12C6D"/>
    <w:rsid w:val="1AE800D5"/>
    <w:rsid w:val="1AFA1C76"/>
    <w:rsid w:val="1CD84722"/>
    <w:rsid w:val="1DAD0520"/>
    <w:rsid w:val="1E495187"/>
    <w:rsid w:val="1E4A1CF0"/>
    <w:rsid w:val="1E64123B"/>
    <w:rsid w:val="1EA130CD"/>
    <w:rsid w:val="2080260A"/>
    <w:rsid w:val="20FB76C1"/>
    <w:rsid w:val="212F78B2"/>
    <w:rsid w:val="21770F72"/>
    <w:rsid w:val="21A25D50"/>
    <w:rsid w:val="22AC349C"/>
    <w:rsid w:val="25402651"/>
    <w:rsid w:val="255D6207"/>
    <w:rsid w:val="25AB0B4C"/>
    <w:rsid w:val="26DE174A"/>
    <w:rsid w:val="272F45BD"/>
    <w:rsid w:val="27AF76CF"/>
    <w:rsid w:val="28203476"/>
    <w:rsid w:val="28954F2A"/>
    <w:rsid w:val="28AD5878"/>
    <w:rsid w:val="29D45A58"/>
    <w:rsid w:val="29E90FBE"/>
    <w:rsid w:val="2A1F00A4"/>
    <w:rsid w:val="2A330BDA"/>
    <w:rsid w:val="2A424A28"/>
    <w:rsid w:val="2A716636"/>
    <w:rsid w:val="2B2772DA"/>
    <w:rsid w:val="2B4A5600"/>
    <w:rsid w:val="2C620DE5"/>
    <w:rsid w:val="2D5B1D46"/>
    <w:rsid w:val="2DCB2E2D"/>
    <w:rsid w:val="2E393B5D"/>
    <w:rsid w:val="308C56CC"/>
    <w:rsid w:val="31EF25F4"/>
    <w:rsid w:val="32140715"/>
    <w:rsid w:val="32227B13"/>
    <w:rsid w:val="326C67A7"/>
    <w:rsid w:val="329A6E6D"/>
    <w:rsid w:val="32C54CDA"/>
    <w:rsid w:val="3335516F"/>
    <w:rsid w:val="34336CC1"/>
    <w:rsid w:val="35C21B40"/>
    <w:rsid w:val="364B047F"/>
    <w:rsid w:val="36871A39"/>
    <w:rsid w:val="372B2789"/>
    <w:rsid w:val="38D62BC9"/>
    <w:rsid w:val="38E1350C"/>
    <w:rsid w:val="398B2926"/>
    <w:rsid w:val="3A360FDD"/>
    <w:rsid w:val="3B241FBC"/>
    <w:rsid w:val="3BA22C44"/>
    <w:rsid w:val="3BFE1CEB"/>
    <w:rsid w:val="3C410508"/>
    <w:rsid w:val="3C434923"/>
    <w:rsid w:val="3D0D2931"/>
    <w:rsid w:val="3E80523B"/>
    <w:rsid w:val="3EDF2056"/>
    <w:rsid w:val="3F06588A"/>
    <w:rsid w:val="3FB901B2"/>
    <w:rsid w:val="3FBC1E4C"/>
    <w:rsid w:val="3FD147C3"/>
    <w:rsid w:val="404C1653"/>
    <w:rsid w:val="413B3D23"/>
    <w:rsid w:val="41784401"/>
    <w:rsid w:val="419C7BED"/>
    <w:rsid w:val="421D7EEF"/>
    <w:rsid w:val="42C47ED0"/>
    <w:rsid w:val="44240C00"/>
    <w:rsid w:val="44505938"/>
    <w:rsid w:val="45295849"/>
    <w:rsid w:val="454B6D29"/>
    <w:rsid w:val="485250CE"/>
    <w:rsid w:val="488C6E93"/>
    <w:rsid w:val="49061B74"/>
    <w:rsid w:val="4A4D292A"/>
    <w:rsid w:val="4A9C40CE"/>
    <w:rsid w:val="4BFA4764"/>
    <w:rsid w:val="4C633D3F"/>
    <w:rsid w:val="4DB37A27"/>
    <w:rsid w:val="4DE04F2F"/>
    <w:rsid w:val="4E310FDC"/>
    <w:rsid w:val="4E6E6DB5"/>
    <w:rsid w:val="4E8E6FF1"/>
    <w:rsid w:val="4ED56E5F"/>
    <w:rsid w:val="4ED64B75"/>
    <w:rsid w:val="4F27427C"/>
    <w:rsid w:val="4FCB25A6"/>
    <w:rsid w:val="531B633E"/>
    <w:rsid w:val="556357A4"/>
    <w:rsid w:val="558A48D6"/>
    <w:rsid w:val="56FA305C"/>
    <w:rsid w:val="577F29EF"/>
    <w:rsid w:val="57D85C2D"/>
    <w:rsid w:val="57FF2336"/>
    <w:rsid w:val="58903FBC"/>
    <w:rsid w:val="596A6CE9"/>
    <w:rsid w:val="59B35D77"/>
    <w:rsid w:val="5A40288B"/>
    <w:rsid w:val="5A426ABB"/>
    <w:rsid w:val="5AC615AD"/>
    <w:rsid w:val="5C5D3F10"/>
    <w:rsid w:val="5C76113F"/>
    <w:rsid w:val="5D21795F"/>
    <w:rsid w:val="5D6E7DCF"/>
    <w:rsid w:val="5F7C183B"/>
    <w:rsid w:val="5FD74417"/>
    <w:rsid w:val="60F156B5"/>
    <w:rsid w:val="612E5A2D"/>
    <w:rsid w:val="61663761"/>
    <w:rsid w:val="61D17125"/>
    <w:rsid w:val="62F92E8C"/>
    <w:rsid w:val="63676048"/>
    <w:rsid w:val="644E59CB"/>
    <w:rsid w:val="666F692A"/>
    <w:rsid w:val="66E005E2"/>
    <w:rsid w:val="66FE20A6"/>
    <w:rsid w:val="68BA6A20"/>
    <w:rsid w:val="692A0AC7"/>
    <w:rsid w:val="69631707"/>
    <w:rsid w:val="69D9633C"/>
    <w:rsid w:val="6AD4713C"/>
    <w:rsid w:val="6BD22269"/>
    <w:rsid w:val="6C335267"/>
    <w:rsid w:val="6C896D9A"/>
    <w:rsid w:val="6CDA3D2E"/>
    <w:rsid w:val="6EEA26C7"/>
    <w:rsid w:val="6F712800"/>
    <w:rsid w:val="6F752978"/>
    <w:rsid w:val="700A505B"/>
    <w:rsid w:val="70420332"/>
    <w:rsid w:val="73AD5CF9"/>
    <w:rsid w:val="762C7AA3"/>
    <w:rsid w:val="766B1D40"/>
    <w:rsid w:val="76B5381A"/>
    <w:rsid w:val="78137BBA"/>
    <w:rsid w:val="78ED5ADF"/>
    <w:rsid w:val="7ABE5192"/>
    <w:rsid w:val="7B5364C6"/>
    <w:rsid w:val="7B5B37C9"/>
    <w:rsid w:val="7C1728A9"/>
    <w:rsid w:val="7C4A2B11"/>
    <w:rsid w:val="7CB33B04"/>
    <w:rsid w:val="7DB22BDF"/>
    <w:rsid w:val="7E6F5C4F"/>
    <w:rsid w:val="7F8B04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tabs>
        <w:tab w:val="left" w:pos="840"/>
      </w:tabs>
      <w:spacing w:before="60" w:after="60" w:line="520" w:lineRule="exact"/>
      <w:ind w:left="5"/>
      <w:outlineLvl w:val="1"/>
    </w:pPr>
    <w:rPr>
      <w:rFonts w:ascii="Arial" w:hAnsi="Arial"/>
      <w:b/>
      <w:bCs/>
      <w:sz w:val="28"/>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toc 3"/>
    <w:basedOn w:val="1"/>
    <w:next w:val="1"/>
    <w:qFormat/>
    <w:uiPriority w:val="0"/>
    <w:pPr>
      <w:ind w:left="840" w:leftChars="4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iPriority w:val="0"/>
  </w:style>
  <w:style w:type="paragraph" w:styleId="7">
    <w:name w:val="toc 2"/>
    <w:basedOn w:val="1"/>
    <w:next w:val="1"/>
    <w:qFormat/>
    <w:uiPriority w:val="0"/>
    <w:pPr>
      <w:ind w:left="420" w:leftChars="200"/>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8662</Words>
  <Characters>8977</Characters>
  <TotalTime>20</TotalTime>
  <ScaleCrop>false</ScaleCrop>
  <LinksUpToDate>false</LinksUpToDate>
  <CharactersWithSpaces>9147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2023-07-01T18:10:00Z</dcterms:created>
  <dc:creator>边立槐</dc:creator>
  <cp:lastModifiedBy>梦</cp:lastModifiedBy>
  <dcterms:modified xsi:type="dcterms:W3CDTF">2025-07-07T05:43:36Z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2025-06-19T11:17:57Z</vt:filetime>
  </property>
  <property fmtid="{D5CDD505-2E9C-101B-9397-08002B2CF9AE}" pid="4" name="KSOTemplateDocerSaveRecord">
    <vt:lpwstr>eyJoZGlkIjoiZGY1OWM1ODI4MzljNDZiMDQ0MGI5ZmMyMzQzNDc2ODMiLCJ1c2VySWQiOiI2NTE3ODQ0OTMifQ==</vt:lpwstr>
  </property>
  <property fmtid="{D5CDD505-2E9C-101B-9397-08002B2CF9AE}" pid="5" name="KSOProductBuildVer">
    <vt:lpwstr>2052-12.1.0.21915</vt:lpwstr>
  </property>
  <property fmtid="{D5CDD505-2E9C-101B-9397-08002B2CF9AE}" pid="6" name="ICV">
    <vt:lpwstr>21166C6314B54DB9AFCD02DC863BEFF1_13</vt:lpwstr>
  </property>
</Properties>
</file>